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0B0" w:rsidRDefault="003440B0">
      <w:pPr>
        <w:spacing w:line="1760" w:lineRule="exact"/>
        <w:jc w:val="distribute"/>
        <w:textAlignment w:val="baseline"/>
        <w:rPr>
          <w:rFonts w:ascii="方正小标宋简体" w:eastAsia="方正小标宋简体"/>
          <w:color w:val="FF0000"/>
          <w:spacing w:val="-57"/>
          <w:kern w:val="20"/>
          <w:sz w:val="132"/>
          <w:szCs w:val="132"/>
        </w:rPr>
      </w:pPr>
      <w:bookmarkStart w:id="0" w:name="OLE_LINK1"/>
    </w:p>
    <w:p w:rsidR="003440B0" w:rsidRDefault="00EB67D2">
      <w:pPr>
        <w:spacing w:line="1760" w:lineRule="exact"/>
        <w:jc w:val="distribute"/>
        <w:textAlignment w:val="baseline"/>
        <w:rPr>
          <w:rFonts w:ascii="方正公文小标宋" w:eastAsia="方正公文小标宋" w:hAnsi="方正公文小标宋" w:cs="方正公文小标宋"/>
          <w:color w:val="FF0000"/>
          <w:spacing w:val="-57"/>
          <w:kern w:val="20"/>
          <w:sz w:val="132"/>
          <w:szCs w:val="132"/>
        </w:rPr>
      </w:pPr>
      <w:r>
        <w:rPr>
          <w:rFonts w:ascii="方正公文小标宋" w:eastAsia="方正公文小标宋" w:hAnsi="方正公文小标宋" w:cs="方正公文小标宋" w:hint="eastAsia"/>
          <w:color w:val="FF0000"/>
          <w:spacing w:val="-57"/>
          <w:kern w:val="20"/>
          <w:sz w:val="132"/>
          <w:szCs w:val="132"/>
        </w:rPr>
        <w:t>担保动态周报</w:t>
      </w:r>
    </w:p>
    <w:p w:rsidR="003440B0" w:rsidRDefault="00EB67D2">
      <w:pPr>
        <w:spacing w:line="560" w:lineRule="exact"/>
        <w:ind w:firstLineChars="50" w:firstLine="160"/>
        <w:jc w:val="center"/>
        <w:rPr>
          <w:rFonts w:ascii="仿宋_GB2312" w:eastAsia="仿宋_GB2312" w:hAnsi="仿宋" w:cs="楷体_GB2312"/>
          <w:bCs/>
          <w:sz w:val="32"/>
          <w:szCs w:val="32"/>
        </w:rPr>
      </w:pPr>
      <w:r>
        <w:rPr>
          <w:rFonts w:ascii="仿宋_GB2312" w:eastAsia="仿宋_GB2312" w:hAnsi="仿宋" w:cs="楷体_GB2312" w:hint="eastAsia"/>
          <w:bCs/>
          <w:sz w:val="32"/>
          <w:szCs w:val="32"/>
        </w:rPr>
        <w:t>第</w:t>
      </w:r>
      <w:r>
        <w:rPr>
          <w:rFonts w:ascii="仿宋_GB2312" w:eastAsia="仿宋_GB2312" w:hAnsi="仿宋" w:cs="楷体_GB2312" w:hint="eastAsia"/>
          <w:bCs/>
          <w:sz w:val="32"/>
          <w:szCs w:val="32"/>
        </w:rPr>
        <w:t>23</w:t>
      </w:r>
      <w:r>
        <w:rPr>
          <w:rFonts w:ascii="仿宋_GB2312" w:eastAsia="仿宋_GB2312" w:hAnsi="仿宋" w:cs="楷体_GB2312" w:hint="eastAsia"/>
          <w:bCs/>
          <w:sz w:val="32"/>
          <w:szCs w:val="32"/>
        </w:rPr>
        <w:t>期</w:t>
      </w:r>
      <w:r>
        <w:rPr>
          <w:rFonts w:ascii="仿宋_GB2312" w:eastAsia="仿宋_GB2312" w:hAnsi="仿宋" w:cs="楷体_GB2312" w:hint="eastAsia"/>
          <w:bCs/>
          <w:sz w:val="32"/>
          <w:szCs w:val="32"/>
        </w:rPr>
        <w:t xml:space="preserve"> </w:t>
      </w:r>
      <w:r>
        <w:rPr>
          <w:rFonts w:ascii="仿宋_GB2312" w:eastAsia="仿宋_GB2312" w:hAnsi="仿宋" w:cs="楷体_GB2312" w:hint="eastAsia"/>
          <w:bCs/>
          <w:sz w:val="32"/>
          <w:szCs w:val="32"/>
        </w:rPr>
        <w:t>央省政策专题</w:t>
      </w:r>
    </w:p>
    <w:p w:rsidR="003440B0" w:rsidRDefault="00EB67D2">
      <w:pPr>
        <w:spacing w:line="560" w:lineRule="exact"/>
        <w:ind w:firstLineChars="50" w:firstLine="160"/>
        <w:jc w:val="center"/>
        <w:rPr>
          <w:rFonts w:ascii="仿宋_GB2312" w:eastAsia="仿宋_GB2312" w:hAnsi="仿宋" w:cs="楷体_GB2312"/>
          <w:bCs/>
          <w:sz w:val="32"/>
          <w:szCs w:val="32"/>
        </w:rPr>
      </w:pPr>
      <w:r>
        <w:rPr>
          <w:rFonts w:ascii="仿宋_GB2312" w:eastAsia="仿宋_GB2312" w:hAnsi="仿宋" w:cs="楷体_GB2312" w:hint="eastAsia"/>
          <w:bCs/>
          <w:sz w:val="32"/>
          <w:szCs w:val="32"/>
        </w:rPr>
        <w:t>（</w:t>
      </w:r>
      <w:r>
        <w:rPr>
          <w:rFonts w:ascii="仿宋_GB2312" w:eastAsia="仿宋_GB2312" w:hAnsi="仿宋" w:cs="楷体_GB2312" w:hint="eastAsia"/>
          <w:bCs/>
          <w:sz w:val="32"/>
          <w:szCs w:val="32"/>
        </w:rPr>
        <w:t>6</w:t>
      </w:r>
      <w:r>
        <w:rPr>
          <w:rFonts w:ascii="仿宋_GB2312" w:eastAsia="仿宋_GB2312" w:hAnsi="仿宋" w:cs="楷体_GB2312" w:hint="eastAsia"/>
          <w:bCs/>
          <w:sz w:val="32"/>
          <w:szCs w:val="32"/>
        </w:rPr>
        <w:t>月</w:t>
      </w:r>
      <w:r>
        <w:rPr>
          <w:rFonts w:ascii="仿宋_GB2312" w:eastAsia="仿宋_GB2312" w:hAnsi="仿宋" w:cs="楷体_GB2312" w:hint="eastAsia"/>
          <w:bCs/>
          <w:sz w:val="32"/>
          <w:szCs w:val="32"/>
        </w:rPr>
        <w:t>15</w:t>
      </w:r>
      <w:r>
        <w:rPr>
          <w:rFonts w:ascii="仿宋_GB2312" w:eastAsia="仿宋_GB2312" w:hAnsi="仿宋" w:cs="楷体_GB2312" w:hint="eastAsia"/>
          <w:bCs/>
          <w:sz w:val="32"/>
          <w:szCs w:val="32"/>
        </w:rPr>
        <w:t>日</w:t>
      </w:r>
      <w:r>
        <w:rPr>
          <w:rFonts w:ascii="仿宋_GB2312" w:eastAsia="仿宋_GB2312" w:hAnsi="仿宋" w:cs="楷体_GB2312" w:hint="eastAsia"/>
          <w:bCs/>
          <w:sz w:val="32"/>
          <w:szCs w:val="32"/>
        </w:rPr>
        <w:t>-6</w:t>
      </w:r>
      <w:r>
        <w:rPr>
          <w:rFonts w:ascii="仿宋_GB2312" w:eastAsia="仿宋_GB2312" w:hAnsi="仿宋" w:cs="楷体_GB2312" w:hint="eastAsia"/>
          <w:bCs/>
          <w:sz w:val="32"/>
          <w:szCs w:val="32"/>
        </w:rPr>
        <w:t>月</w:t>
      </w:r>
      <w:r>
        <w:rPr>
          <w:rFonts w:ascii="仿宋_GB2312" w:eastAsia="仿宋_GB2312" w:hAnsi="仿宋" w:cs="楷体_GB2312" w:hint="eastAsia"/>
          <w:bCs/>
          <w:sz w:val="32"/>
          <w:szCs w:val="32"/>
        </w:rPr>
        <w:t>30</w:t>
      </w:r>
      <w:r>
        <w:rPr>
          <w:rFonts w:ascii="仿宋_GB2312" w:eastAsia="仿宋_GB2312" w:hAnsi="仿宋" w:cs="楷体_GB2312" w:hint="eastAsia"/>
          <w:bCs/>
          <w:sz w:val="32"/>
          <w:szCs w:val="32"/>
        </w:rPr>
        <w:t>日</w:t>
      </w:r>
      <w:r>
        <w:rPr>
          <w:rFonts w:ascii="仿宋_GB2312" w:eastAsia="仿宋_GB2312" w:hAnsi="仿宋" w:cs="楷体_GB2312" w:hint="eastAsia"/>
          <w:bCs/>
          <w:sz w:val="32"/>
          <w:szCs w:val="32"/>
        </w:rPr>
        <w:t>）</w:t>
      </w:r>
    </w:p>
    <w:p w:rsidR="003440B0" w:rsidRDefault="003440B0">
      <w:pPr>
        <w:spacing w:line="560" w:lineRule="exact"/>
        <w:ind w:firstLineChars="50" w:firstLine="160"/>
        <w:jc w:val="center"/>
        <w:rPr>
          <w:rFonts w:ascii="仿宋" w:eastAsia="仿宋" w:hAnsi="仿宋" w:cs="楷体_GB2312"/>
          <w:bCs/>
          <w:sz w:val="32"/>
          <w:szCs w:val="32"/>
        </w:rPr>
      </w:pPr>
    </w:p>
    <w:p w:rsidR="003440B0" w:rsidRDefault="00EB67D2">
      <w:pPr>
        <w:pBdr>
          <w:top w:val="none" w:sz="0" w:space="1" w:color="auto"/>
          <w:left w:val="none" w:sz="0" w:space="4" w:color="auto"/>
          <w:bottom w:val="single" w:sz="18" w:space="1" w:color="FF0000"/>
          <w:right w:val="none" w:sz="0" w:space="4" w:color="auto"/>
        </w:pBdr>
        <w:spacing w:line="560" w:lineRule="exact"/>
        <w:rPr>
          <w:rFonts w:ascii="仿宋" w:eastAsia="仿宋" w:hAnsi="仿宋" w:cs="楷体_GB2312"/>
          <w:bCs/>
          <w:sz w:val="32"/>
          <w:szCs w:val="32"/>
        </w:rPr>
      </w:pPr>
      <w:r>
        <w:rPr>
          <w:rFonts w:ascii="仿宋_GB2312" w:eastAsia="仿宋_GB2312" w:hAnsi="仿宋" w:cs="楷体_GB2312" w:hint="eastAsia"/>
          <w:bCs/>
          <w:sz w:val="32"/>
          <w:szCs w:val="32"/>
        </w:rPr>
        <w:t>四川再担保机构发展部</w:t>
      </w:r>
      <w:r>
        <w:rPr>
          <w:rFonts w:ascii="仿宋_GB2312" w:eastAsia="仿宋_GB2312" w:hAnsi="仿宋" w:cs="楷体_GB2312" w:hint="eastAsia"/>
          <w:bCs/>
          <w:sz w:val="32"/>
          <w:szCs w:val="32"/>
        </w:rPr>
        <w:t xml:space="preserve">                  202</w:t>
      </w:r>
      <w:r>
        <w:rPr>
          <w:rFonts w:ascii="仿宋_GB2312" w:eastAsia="仿宋_GB2312" w:hAnsi="仿宋" w:cs="楷体_GB2312" w:hint="eastAsia"/>
          <w:bCs/>
          <w:sz w:val="32"/>
          <w:szCs w:val="32"/>
        </w:rPr>
        <w:t>3</w:t>
      </w:r>
      <w:r>
        <w:rPr>
          <w:rFonts w:ascii="仿宋_GB2312" w:eastAsia="仿宋_GB2312" w:hAnsi="仿宋" w:cs="楷体_GB2312" w:hint="eastAsia"/>
          <w:bCs/>
          <w:sz w:val="32"/>
          <w:szCs w:val="32"/>
        </w:rPr>
        <w:t>年</w:t>
      </w:r>
      <w:r>
        <w:rPr>
          <w:rFonts w:ascii="仿宋_GB2312" w:eastAsia="仿宋_GB2312" w:hAnsi="仿宋" w:cs="楷体_GB2312" w:hint="eastAsia"/>
          <w:bCs/>
          <w:sz w:val="32"/>
          <w:szCs w:val="32"/>
        </w:rPr>
        <w:t>7</w:t>
      </w:r>
      <w:r>
        <w:rPr>
          <w:rFonts w:ascii="仿宋_GB2312" w:eastAsia="仿宋_GB2312" w:hAnsi="仿宋" w:cs="楷体_GB2312" w:hint="eastAsia"/>
          <w:bCs/>
          <w:sz w:val="32"/>
          <w:szCs w:val="32"/>
        </w:rPr>
        <w:t>月</w:t>
      </w:r>
      <w:r>
        <w:rPr>
          <w:rFonts w:ascii="仿宋_GB2312" w:eastAsia="仿宋_GB2312" w:hAnsi="仿宋" w:cs="楷体_GB2312" w:hint="eastAsia"/>
          <w:bCs/>
          <w:sz w:val="32"/>
          <w:szCs w:val="32"/>
        </w:rPr>
        <w:t>3</w:t>
      </w:r>
      <w:r>
        <w:rPr>
          <w:rFonts w:ascii="仿宋_GB2312" w:eastAsia="仿宋_GB2312" w:hAnsi="仿宋" w:cs="楷体_GB2312" w:hint="eastAsia"/>
          <w:bCs/>
          <w:sz w:val="32"/>
          <w:szCs w:val="32"/>
        </w:rPr>
        <w:t>日</w:t>
      </w:r>
      <w:bookmarkEnd w:id="0"/>
    </w:p>
    <w:p w:rsidR="003440B0" w:rsidRDefault="003440B0">
      <w:pPr>
        <w:spacing w:line="560" w:lineRule="exact"/>
        <w:rPr>
          <w:rFonts w:ascii="黑体" w:eastAsia="黑体" w:hAnsi="黑体"/>
          <w:sz w:val="32"/>
          <w:szCs w:val="32"/>
        </w:rPr>
      </w:pPr>
    </w:p>
    <w:p w:rsidR="003440B0" w:rsidRDefault="00EB67D2">
      <w:pPr>
        <w:spacing w:line="560" w:lineRule="exact"/>
        <w:rPr>
          <w:rFonts w:ascii="黑体" w:eastAsia="黑体" w:hAnsi="黑体"/>
          <w:sz w:val="32"/>
          <w:szCs w:val="32"/>
        </w:rPr>
      </w:pPr>
      <w:bookmarkStart w:id="1" w:name="_GoBack"/>
      <w:r>
        <w:rPr>
          <w:rFonts w:ascii="黑体" w:eastAsia="黑体" w:hAnsi="黑体" w:hint="eastAsia"/>
          <w:sz w:val="32"/>
          <w:szCs w:val="32"/>
        </w:rPr>
        <w:t>【</w:t>
      </w:r>
      <w:r>
        <w:rPr>
          <w:rFonts w:ascii="黑体" w:eastAsia="黑体" w:hAnsi="黑体" w:hint="eastAsia"/>
          <w:sz w:val="32"/>
          <w:szCs w:val="32"/>
        </w:rPr>
        <w:t>中央政策</w:t>
      </w:r>
      <w:r>
        <w:rPr>
          <w:rFonts w:ascii="黑体" w:eastAsia="黑体" w:hAnsi="黑体" w:hint="eastAsia"/>
          <w:sz w:val="32"/>
          <w:szCs w:val="32"/>
        </w:rPr>
        <w:t>】</w:t>
      </w:r>
    </w:p>
    <w:p w:rsidR="003440B0" w:rsidRDefault="00EB67D2">
      <w:pPr>
        <w:numPr>
          <w:ilvl w:val="0"/>
          <w:numId w:val="1"/>
        </w:numPr>
        <w:rPr>
          <w:rFonts w:ascii="仿宋_GB2312" w:eastAsia="仿宋_GB2312" w:hAnsi="仿宋_GB2312" w:cs="仿宋_GB2312"/>
          <w:sz w:val="32"/>
          <w:szCs w:val="32"/>
        </w:rPr>
      </w:pPr>
      <w:r>
        <w:rPr>
          <w:rFonts w:ascii="仿宋_GB2312" w:eastAsia="仿宋_GB2312" w:hAnsi="仿宋_GB2312" w:cs="仿宋_GB2312" w:hint="eastAsia"/>
          <w:sz w:val="32"/>
          <w:szCs w:val="32"/>
        </w:rPr>
        <w:t>李强主持召开国务院常务会议审议通过《加大力度支持科技型企业融资行动方案》</w:t>
      </w:r>
    </w:p>
    <w:p w:rsidR="003440B0" w:rsidRDefault="00EB67D2">
      <w:pPr>
        <w:numPr>
          <w:ilvl w:val="0"/>
          <w:numId w:val="2"/>
        </w:numPr>
        <w:rPr>
          <w:rFonts w:ascii="黑体" w:eastAsia="黑体" w:hAnsi="黑体"/>
          <w:sz w:val="32"/>
          <w:szCs w:val="32"/>
        </w:rPr>
      </w:pPr>
      <w:r>
        <w:rPr>
          <w:rFonts w:ascii="仿宋_GB2312" w:eastAsia="仿宋_GB2312" w:hAnsi="仿宋_GB2312" w:cs="仿宋_GB2312" w:hint="eastAsia"/>
          <w:sz w:val="32"/>
          <w:szCs w:val="32"/>
        </w:rPr>
        <w:t>二十届中央财经委员会第一次会议强调加快建设以实体经济为支撑的现代化产业体系、以人口高质量发展支撑中国式现代化</w:t>
      </w:r>
    </w:p>
    <w:p w:rsidR="003440B0" w:rsidRDefault="00EB67D2">
      <w:pPr>
        <w:numPr>
          <w:ilvl w:val="0"/>
          <w:numId w:val="1"/>
        </w:numPr>
        <w:rPr>
          <w:rFonts w:ascii="仿宋_GB2312" w:eastAsia="仿宋_GB2312" w:hAnsi="仿宋_GB2312" w:cs="仿宋_GB2312"/>
          <w:sz w:val="32"/>
          <w:szCs w:val="32"/>
        </w:rPr>
      </w:pPr>
      <w:r>
        <w:rPr>
          <w:rFonts w:ascii="仿宋_GB2312" w:eastAsia="仿宋_GB2312" w:hAnsi="仿宋_GB2312" w:cs="仿宋_GB2312" w:hint="eastAsia"/>
          <w:sz w:val="32"/>
          <w:szCs w:val="32"/>
        </w:rPr>
        <w:t>中国人民银行、金融监管总局、中国证监会、财政部、农业农村部印发《关于金融支持全面推进乡村振兴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加快建设农业强国的指导意见》</w:t>
      </w:r>
    </w:p>
    <w:p w:rsidR="003440B0" w:rsidRDefault="00EB67D2">
      <w:pPr>
        <w:numPr>
          <w:ilvl w:val="0"/>
          <w:numId w:val="3"/>
        </w:numPr>
        <w:rPr>
          <w:rFonts w:ascii="仿宋_GB2312" w:eastAsia="仿宋_GB2312" w:hAnsi="仿宋_GB2312" w:cs="仿宋_GB2312"/>
          <w:sz w:val="32"/>
          <w:szCs w:val="32"/>
        </w:rPr>
      </w:pPr>
      <w:r>
        <w:rPr>
          <w:rFonts w:ascii="仿宋_GB2312" w:eastAsia="仿宋_GB2312" w:hAnsi="仿宋_GB2312" w:cs="仿宋_GB2312" w:hint="eastAsia"/>
          <w:sz w:val="32"/>
          <w:szCs w:val="32"/>
        </w:rPr>
        <w:t>中国人民银行增加支农支小再贷款、再贴现额度</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亿元</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进</w:t>
      </w:r>
      <w:r>
        <w:rPr>
          <w:rFonts w:ascii="仿宋_GB2312" w:eastAsia="仿宋_GB2312" w:hAnsi="仿宋_GB2312" w:cs="仿宋_GB2312" w:hint="eastAsia"/>
          <w:sz w:val="32"/>
          <w:szCs w:val="32"/>
        </w:rPr>
        <w:lastRenderedPageBreak/>
        <w:t>一步加大对“三农”、小微和民营企业金融支持力度</w:t>
      </w:r>
    </w:p>
    <w:p w:rsidR="003440B0" w:rsidRDefault="00EB67D2">
      <w:pPr>
        <w:numPr>
          <w:ilvl w:val="0"/>
          <w:numId w:val="1"/>
        </w:numPr>
        <w:rPr>
          <w:rFonts w:ascii="仿宋_GB2312" w:eastAsia="仿宋_GB2312" w:hAnsi="仿宋_GB2312" w:cs="仿宋_GB2312"/>
          <w:sz w:val="32"/>
          <w:szCs w:val="32"/>
        </w:rPr>
      </w:pPr>
      <w:r>
        <w:rPr>
          <w:rFonts w:ascii="仿宋_GB2312" w:eastAsia="仿宋_GB2312" w:hAnsi="仿宋_GB2312" w:cs="仿宋_GB2312" w:hint="eastAsia"/>
          <w:sz w:val="32"/>
          <w:szCs w:val="32"/>
        </w:rPr>
        <w:t>中国银保监会办公厅发布关于</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年加力提升小微企业金融服务质量的通知</w:t>
      </w:r>
    </w:p>
    <w:p w:rsidR="003440B0" w:rsidRDefault="00EB67D2">
      <w:pPr>
        <w:numPr>
          <w:ilvl w:val="0"/>
          <w:numId w:val="1"/>
        </w:numPr>
        <w:rPr>
          <w:rFonts w:ascii="仿宋_GB2312" w:eastAsia="仿宋_GB2312" w:hAnsi="仿宋_GB2312" w:cs="仿宋_GB2312"/>
          <w:sz w:val="32"/>
          <w:szCs w:val="32"/>
        </w:rPr>
      </w:pPr>
      <w:r>
        <w:rPr>
          <w:rFonts w:ascii="仿宋_GB2312" w:eastAsia="仿宋_GB2312" w:hAnsi="仿宋_GB2312" w:cs="仿宋_GB2312" w:hint="eastAsia"/>
          <w:sz w:val="32"/>
          <w:szCs w:val="32"/>
        </w:rPr>
        <w:t>国家税务总局办公厅、中华全国工商业联合会办公厅关于印发《</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年助力小微经营主体发展“春雨润苗”专项行动方案》的通知</w:t>
      </w:r>
    </w:p>
    <w:p w:rsidR="003440B0" w:rsidRDefault="003440B0">
      <w:pPr>
        <w:rPr>
          <w:rFonts w:ascii="仿宋_GB2312" w:eastAsia="仿宋_GB2312" w:hAnsi="仿宋_GB2312" w:cs="仿宋_GB2312"/>
          <w:sz w:val="32"/>
          <w:szCs w:val="32"/>
        </w:rPr>
      </w:pPr>
    </w:p>
    <w:p w:rsidR="003440B0" w:rsidRDefault="00EB67D2">
      <w:pPr>
        <w:spacing w:line="560" w:lineRule="exact"/>
        <w:rPr>
          <w:rFonts w:ascii="仿宋_GB2312" w:eastAsia="仿宋_GB2312" w:hAnsi="仿宋_GB2312" w:cs="仿宋_GB2312"/>
          <w:sz w:val="32"/>
          <w:szCs w:val="32"/>
        </w:rPr>
      </w:pPr>
      <w:r>
        <w:rPr>
          <w:rFonts w:ascii="黑体" w:eastAsia="黑体" w:hAnsi="黑体" w:hint="eastAsia"/>
          <w:sz w:val="32"/>
          <w:szCs w:val="32"/>
        </w:rPr>
        <w:t>【</w:t>
      </w:r>
      <w:r>
        <w:rPr>
          <w:rFonts w:ascii="黑体" w:eastAsia="黑体" w:hAnsi="黑体" w:hint="eastAsia"/>
          <w:sz w:val="32"/>
          <w:szCs w:val="32"/>
        </w:rPr>
        <w:t>四川省政策</w:t>
      </w:r>
      <w:r>
        <w:rPr>
          <w:rFonts w:ascii="黑体" w:eastAsia="黑体" w:hAnsi="黑体" w:hint="eastAsia"/>
          <w:sz w:val="32"/>
          <w:szCs w:val="32"/>
        </w:rPr>
        <w:t>】</w:t>
      </w:r>
    </w:p>
    <w:p w:rsidR="003440B0" w:rsidRDefault="00EB67D2">
      <w:pPr>
        <w:numPr>
          <w:ilvl w:val="0"/>
          <w:numId w:val="4"/>
        </w:numPr>
        <w:rPr>
          <w:rFonts w:ascii="仿宋_GB2312" w:eastAsia="仿宋_GB2312" w:hAnsi="仿宋_GB2312" w:cs="仿宋_GB2312"/>
          <w:sz w:val="32"/>
          <w:szCs w:val="32"/>
        </w:rPr>
      </w:pPr>
      <w:r>
        <w:rPr>
          <w:rFonts w:ascii="仿宋_GB2312" w:eastAsia="仿宋_GB2312" w:hAnsi="仿宋_GB2312" w:cs="仿宋_GB2312" w:hint="eastAsia"/>
          <w:sz w:val="32"/>
          <w:szCs w:val="32"/>
        </w:rPr>
        <w:t>中国共产党四川省第十二届委员会第三次全体会议在成都召开</w:t>
      </w:r>
    </w:p>
    <w:p w:rsidR="003440B0" w:rsidRDefault="00EB67D2">
      <w:pPr>
        <w:numPr>
          <w:ilvl w:val="0"/>
          <w:numId w:val="5"/>
        </w:numPr>
        <w:rPr>
          <w:rFonts w:ascii="仿宋_GB2312" w:eastAsia="仿宋_GB2312" w:hAnsi="仿宋_GB2312" w:cs="仿宋_GB2312"/>
          <w:sz w:val="32"/>
          <w:szCs w:val="32"/>
        </w:rPr>
      </w:pPr>
      <w:r>
        <w:rPr>
          <w:rFonts w:ascii="仿宋_GB2312" w:eastAsia="仿宋_GB2312" w:hAnsi="仿宋_GB2312" w:cs="仿宋_GB2312" w:hint="eastAsia"/>
          <w:sz w:val="32"/>
          <w:szCs w:val="32"/>
        </w:rPr>
        <w:t>四川省财政厅：着力构建与乡村振兴相适应的财政政策体系</w:t>
      </w:r>
    </w:p>
    <w:p w:rsidR="003440B0" w:rsidRDefault="00EB67D2">
      <w:pPr>
        <w:numPr>
          <w:ilvl w:val="0"/>
          <w:numId w:val="1"/>
        </w:numPr>
        <w:rPr>
          <w:rFonts w:ascii="仿宋_GB2312" w:eastAsia="仿宋_GB2312" w:hAnsi="仿宋_GB2312" w:cs="仿宋_GB2312"/>
          <w:sz w:val="32"/>
          <w:szCs w:val="32"/>
        </w:rPr>
      </w:pPr>
      <w:r>
        <w:rPr>
          <w:rFonts w:ascii="仿宋_GB2312" w:eastAsia="仿宋_GB2312" w:hAnsi="仿宋_GB2312" w:cs="仿宋_GB2312" w:hint="eastAsia"/>
          <w:sz w:val="32"/>
          <w:szCs w:val="32"/>
        </w:rPr>
        <w:t>四川省科技厅召开</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年全省科技金融工作联席会议</w:t>
      </w:r>
      <w:bookmarkEnd w:id="1"/>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pStyle w:val="a4"/>
        <w:spacing w:line="560" w:lineRule="exact"/>
        <w:ind w:firstLineChars="0" w:firstLine="0"/>
        <w:rPr>
          <w:rFonts w:ascii="仿宋_GB2312" w:eastAsia="仿宋_GB2312" w:hAnsi="仿宋_GB2312" w:cs="仿宋_GB2312"/>
          <w:sz w:val="32"/>
          <w:szCs w:val="32"/>
        </w:rPr>
      </w:pPr>
    </w:p>
    <w:p w:rsidR="003440B0" w:rsidRDefault="00EB67D2">
      <w:pPr>
        <w:spacing w:line="560" w:lineRule="exact"/>
        <w:rPr>
          <w:rFonts w:ascii="黑体" w:eastAsia="黑体" w:hAnsi="黑体"/>
          <w:sz w:val="32"/>
          <w:szCs w:val="32"/>
        </w:rPr>
      </w:pPr>
      <w:r>
        <w:rPr>
          <w:rFonts w:ascii="仿宋_GB2312" w:eastAsia="仿宋_GB2312" w:hAnsi="仿宋_GB2312" w:cs="仿宋_GB2312" w:hint="eastAsia"/>
          <w:sz w:val="32"/>
          <w:szCs w:val="32"/>
        </w:rPr>
        <w:br w:type="page"/>
      </w:r>
      <w:r>
        <w:rPr>
          <w:rFonts w:ascii="黑体" w:eastAsia="黑体" w:hAnsi="黑体" w:hint="eastAsia"/>
          <w:sz w:val="32"/>
          <w:szCs w:val="32"/>
        </w:rPr>
        <w:lastRenderedPageBreak/>
        <w:t>【</w:t>
      </w:r>
      <w:r>
        <w:rPr>
          <w:rFonts w:ascii="黑体" w:eastAsia="黑体" w:hAnsi="黑体" w:hint="eastAsia"/>
          <w:sz w:val="32"/>
          <w:szCs w:val="32"/>
        </w:rPr>
        <w:t>中央政策</w:t>
      </w:r>
      <w:r>
        <w:rPr>
          <w:rFonts w:ascii="黑体" w:eastAsia="黑体" w:hAnsi="黑体" w:hint="eastAsia"/>
          <w:sz w:val="32"/>
          <w:szCs w:val="32"/>
        </w:rPr>
        <w:t>】</w:t>
      </w:r>
    </w:p>
    <w:p w:rsidR="003440B0" w:rsidRDefault="00EB67D2">
      <w:pPr>
        <w:numPr>
          <w:ilvl w:val="0"/>
          <w:numId w:val="1"/>
        </w:numPr>
        <w:rPr>
          <w:rFonts w:ascii="仿宋_GB2312" w:eastAsia="仿宋_GB2312" w:hAnsi="仿宋_GB2312" w:cs="仿宋_GB2312"/>
          <w:sz w:val="32"/>
          <w:szCs w:val="32"/>
        </w:rPr>
      </w:pPr>
      <w:r>
        <w:rPr>
          <w:rFonts w:ascii="仿宋_GB2312" w:eastAsia="仿宋_GB2312" w:hAnsi="仿宋_GB2312" w:cs="仿宋_GB2312" w:hint="eastAsia"/>
          <w:b/>
          <w:bCs/>
          <w:sz w:val="32"/>
          <w:szCs w:val="32"/>
        </w:rPr>
        <w:t>李强主持召开国务院常务会议审议通过《加大力度支持科技型企业融资行动方案》</w:t>
      </w:r>
    </w:p>
    <w:p w:rsidR="003440B0" w:rsidRDefault="00EB67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会议指出，长期以来，金融服务科技创新有两大堵点：一方面，在我国现有金融体系中，</w:t>
      </w:r>
      <w:r>
        <w:rPr>
          <w:rFonts w:ascii="仿宋_GB2312" w:eastAsia="仿宋_GB2312" w:hAnsi="仿宋_GB2312" w:cs="仿宋_GB2312" w:hint="eastAsia"/>
          <w:b/>
          <w:bCs/>
          <w:sz w:val="32"/>
          <w:szCs w:val="32"/>
        </w:rPr>
        <w:t>以银行信贷为代表的间接融资占比最大，但其商业模式与科创企业特征匹配度不高。</w:t>
      </w:r>
      <w:r>
        <w:rPr>
          <w:rFonts w:ascii="仿宋_GB2312" w:eastAsia="仿宋_GB2312" w:hAnsi="仿宋_GB2312" w:cs="仿宋_GB2312" w:hint="eastAsia"/>
          <w:sz w:val="32"/>
          <w:szCs w:val="32"/>
        </w:rPr>
        <w:t>举例来说，科创企业具有迭代快、风险高、轻资产的特点，在创业初期需要投入大量资金搞研发，尚无科技成果转化和经济效益产出。在这种情况下，贷款可能变为不良资产，银行必然缺乏积极性。另一方面，股权融资更加契合科创企业特征，但相较于成熟市场，我国股权融资仍有短板待补足、仍有空间待拓展。</w:t>
      </w:r>
    </w:p>
    <w:p w:rsidR="003440B0" w:rsidRDefault="00EB67D2">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会议强调</w:t>
      </w:r>
      <w:r>
        <w:rPr>
          <w:rFonts w:ascii="仿宋_GB2312" w:eastAsia="仿宋_GB2312" w:hAnsi="仿宋_GB2312" w:cs="仿宋_GB2312" w:hint="eastAsia"/>
          <w:sz w:val="32"/>
          <w:szCs w:val="32"/>
        </w:rPr>
        <w:t>，要引导金融机构根据不同发展阶段的科技型企业的不同需求，进一步优化产品、市场和服务体系，</w:t>
      </w:r>
      <w:r>
        <w:rPr>
          <w:rFonts w:ascii="仿宋_GB2312" w:eastAsia="仿宋_GB2312" w:hAnsi="仿宋_GB2312" w:cs="仿宋_GB2312" w:hint="eastAsia"/>
          <w:b/>
          <w:bCs/>
          <w:sz w:val="32"/>
          <w:szCs w:val="32"/>
        </w:rPr>
        <w:t>为科技型企业提供全生命周期的多元化接力式金融服务</w:t>
      </w:r>
      <w:r>
        <w:rPr>
          <w:rFonts w:ascii="仿宋_GB2312" w:eastAsia="仿宋_GB2312" w:hAnsi="仿宋_GB2312" w:cs="仿宋_GB2312" w:hint="eastAsia"/>
          <w:sz w:val="32"/>
          <w:szCs w:val="32"/>
        </w:rPr>
        <w:t>。要把支持初创期科技型企业作为重中之重，</w:t>
      </w:r>
      <w:r>
        <w:rPr>
          <w:rFonts w:ascii="仿宋_GB2312" w:eastAsia="仿宋_GB2312" w:hAnsi="仿宋_GB2312" w:cs="仿宋_GB2312" w:hint="eastAsia"/>
          <w:b/>
          <w:bCs/>
          <w:sz w:val="32"/>
          <w:szCs w:val="32"/>
        </w:rPr>
        <w:t>加快形成以股权投资为主、“股贷债保”联动的金融服务支撑体系。</w:t>
      </w:r>
      <w:r>
        <w:rPr>
          <w:rFonts w:ascii="仿宋_GB2312" w:eastAsia="仿宋_GB2312" w:hAnsi="仿宋_GB2312" w:cs="仿宋_GB2312" w:hint="eastAsia"/>
          <w:sz w:val="32"/>
          <w:szCs w:val="32"/>
        </w:rPr>
        <w:t>要加强科技创新评价标准、知识产权交易、信用信息系统等基础设施建设。要统筹做好融资支持与风险防范，有效维护金融稳定。还要特别注意执行细节。</w:t>
      </w:r>
      <w:r>
        <w:rPr>
          <w:rFonts w:ascii="仿宋_GB2312" w:eastAsia="仿宋_GB2312" w:hAnsi="仿宋_GB2312" w:cs="仿宋_GB2312" w:hint="eastAsia"/>
          <w:b/>
          <w:bCs/>
          <w:sz w:val="32"/>
          <w:szCs w:val="32"/>
        </w:rPr>
        <w:t>不同类型金融机构联动后，收益如何共享、风险如何共担，还需要进行妥善安排。</w:t>
      </w:r>
    </w:p>
    <w:p w:rsidR="003440B0" w:rsidRDefault="003440B0">
      <w:pPr>
        <w:ind w:firstLineChars="200" w:firstLine="643"/>
        <w:rPr>
          <w:rFonts w:ascii="仿宋_GB2312" w:eastAsia="仿宋_GB2312" w:hAnsi="仿宋_GB2312" w:cs="仿宋_GB2312"/>
          <w:b/>
          <w:bCs/>
          <w:sz w:val="32"/>
          <w:szCs w:val="32"/>
        </w:rPr>
      </w:pPr>
    </w:p>
    <w:p w:rsidR="003440B0" w:rsidRDefault="00EB67D2">
      <w:pPr>
        <w:numPr>
          <w:ilvl w:val="0"/>
          <w:numId w:val="2"/>
        </w:num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二十届中央财经委员会第一次会议强调加快建设以实体经济为支撑的现代化产业体系</w:t>
      </w:r>
    </w:p>
    <w:p w:rsidR="003440B0" w:rsidRDefault="00EB67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会议强调，</w:t>
      </w:r>
      <w:r>
        <w:rPr>
          <w:rFonts w:ascii="仿宋_GB2312" w:eastAsia="仿宋_GB2312" w:hAnsi="仿宋_GB2312" w:cs="仿宋_GB2312" w:hint="eastAsia"/>
          <w:b/>
          <w:bCs/>
          <w:sz w:val="32"/>
          <w:szCs w:val="32"/>
        </w:rPr>
        <w:t>加快建设以实体经济为支撑的现代化产业体系</w:t>
      </w:r>
      <w:r>
        <w:rPr>
          <w:rFonts w:ascii="仿宋_GB2312" w:eastAsia="仿宋_GB2312" w:hAnsi="仿宋_GB2312" w:cs="仿宋_GB2312" w:hint="eastAsia"/>
          <w:sz w:val="32"/>
          <w:szCs w:val="32"/>
        </w:rPr>
        <w:t>，关系我们在未来发展和国际竞争中赢得战略主动。要把握人工智能等新科技革命浪潮，适应人与自然和谐共生的要求，</w:t>
      </w:r>
      <w:r>
        <w:rPr>
          <w:rFonts w:ascii="仿宋_GB2312" w:eastAsia="仿宋_GB2312" w:hAnsi="仿宋_GB2312" w:cs="仿宋_GB2312" w:hint="eastAsia"/>
          <w:b/>
          <w:bCs/>
          <w:sz w:val="32"/>
          <w:szCs w:val="32"/>
        </w:rPr>
        <w:t>保持并增强产业体系完备和配套能力强的优势</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高效集聚全球创新要素，推进产业智能化、绿色化、融合化</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建设具有完整性、先进性、安全性的现代化产业体系</w:t>
      </w:r>
      <w:r>
        <w:rPr>
          <w:rFonts w:ascii="仿宋_GB2312" w:eastAsia="仿宋_GB2312" w:hAnsi="仿宋_GB2312" w:cs="仿宋_GB2312" w:hint="eastAsia"/>
          <w:sz w:val="32"/>
          <w:szCs w:val="32"/>
        </w:rPr>
        <w:t>。要坚持以实体经济为重，防止脱实向虚；坚持稳中求进、循序渐进，不能贪大求洋；坚持三次产业融合发展，避免割裂对立；坚持推动传统产业转型升级，</w:t>
      </w:r>
      <w:r>
        <w:rPr>
          <w:rFonts w:ascii="仿宋_GB2312" w:eastAsia="仿宋_GB2312" w:hAnsi="仿宋_GB2312" w:cs="仿宋_GB2312" w:hint="eastAsia"/>
          <w:sz w:val="32"/>
          <w:szCs w:val="32"/>
        </w:rPr>
        <w:t>不能当成“低端产业”简单退出；坚持开放合作，不能闭门造车。</w:t>
      </w:r>
    </w:p>
    <w:p w:rsidR="003440B0" w:rsidRDefault="00EB67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会议指出，</w:t>
      </w:r>
      <w:r>
        <w:rPr>
          <w:rFonts w:ascii="仿宋_GB2312" w:eastAsia="仿宋_GB2312" w:hAnsi="仿宋_GB2312" w:cs="仿宋_GB2312" w:hint="eastAsia"/>
          <w:b/>
          <w:bCs/>
          <w:sz w:val="32"/>
          <w:szCs w:val="32"/>
        </w:rPr>
        <w:t>要完善新发展阶段的产业政策</w:t>
      </w:r>
      <w:r>
        <w:rPr>
          <w:rFonts w:ascii="仿宋_GB2312" w:eastAsia="仿宋_GB2312" w:hAnsi="仿宋_GB2312" w:cs="仿宋_GB2312" w:hint="eastAsia"/>
          <w:sz w:val="32"/>
          <w:szCs w:val="32"/>
        </w:rPr>
        <w:t>，把维护产业安全作为重中之重，强化战略性领域顶层设计，增强产业政策协同性。要加强关键核心技术攻关和战略性资源支撑，</w:t>
      </w:r>
      <w:r>
        <w:rPr>
          <w:rFonts w:ascii="仿宋_GB2312" w:eastAsia="仿宋_GB2312" w:hAnsi="仿宋_GB2312" w:cs="仿宋_GB2312" w:hint="eastAsia"/>
          <w:b/>
          <w:bCs/>
          <w:sz w:val="32"/>
          <w:szCs w:val="32"/>
        </w:rPr>
        <w:t>从制度上落实企业科技创新主体地位</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要更加重视藏粮于技，突破耕地等自然条件对农业生产的限制。</w:t>
      </w:r>
      <w:r>
        <w:rPr>
          <w:rFonts w:ascii="仿宋_GB2312" w:eastAsia="仿宋_GB2312" w:hAnsi="仿宋_GB2312" w:cs="仿宋_GB2312" w:hint="eastAsia"/>
          <w:sz w:val="32"/>
          <w:szCs w:val="32"/>
        </w:rPr>
        <w:t>要用好超大规模市场优势，把扩大内需战略和创新驱动发展战略有机结合起来，加强产业链供应链开放合作。要大力建设世界一流企业，倍加珍惜爱护优秀企业家，大力培养大国工匠。</w:t>
      </w:r>
    </w:p>
    <w:p w:rsidR="003440B0" w:rsidRDefault="003440B0">
      <w:pPr>
        <w:spacing w:line="560" w:lineRule="exact"/>
        <w:rPr>
          <w:rFonts w:ascii="黑体" w:eastAsia="黑体" w:hAnsi="黑体"/>
          <w:sz w:val="32"/>
          <w:szCs w:val="32"/>
        </w:rPr>
      </w:pPr>
    </w:p>
    <w:p w:rsidR="003440B0" w:rsidRDefault="00EB67D2">
      <w:pPr>
        <w:pStyle w:val="a4"/>
        <w:numPr>
          <w:ilvl w:val="0"/>
          <w:numId w:val="6"/>
        </w:numPr>
        <w:spacing w:line="560" w:lineRule="exact"/>
        <w:ind w:firstLineChars="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中国人民银行、金融监管总局、中国证监会、财政部</w:t>
      </w:r>
      <w:r>
        <w:rPr>
          <w:rFonts w:ascii="仿宋_GB2312" w:eastAsia="仿宋_GB2312" w:hAnsi="仿宋_GB2312" w:cs="仿宋_GB2312" w:hint="eastAsia"/>
          <w:b/>
          <w:bCs/>
          <w:sz w:val="32"/>
          <w:szCs w:val="32"/>
        </w:rPr>
        <w:t>、农业农村部印发《关于金融支持全面推进乡村振兴</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加快建设农业强国的指导意见》</w:t>
      </w:r>
    </w:p>
    <w:p w:rsidR="003440B0" w:rsidRDefault="00EB67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贯彻落实党的二十大、中央经济工作会议、中央农村工作会议重要精神和中央一号文件部署要求，完整、准确、全面贯彻新发展理念，中国人民银行、金融监管总局、中国证监会、财政部、农业农村部近日联合发布《关于金融支持全面推进乡村振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加快建设农业强国的指导意见》，对做好粮食和重要农产品稳产保供金融服务、强化巩固拓展脱贫攻坚成果金融支持、加强农业强国金融供给等九个方面提出具体要求。</w:t>
      </w:r>
    </w:p>
    <w:p w:rsidR="003440B0" w:rsidRDefault="00EB67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《意见》强调，各金融机构要主动对接粮食生产主体扩大产能、设</w:t>
      </w:r>
      <w:r>
        <w:rPr>
          <w:rFonts w:ascii="仿宋_GB2312" w:eastAsia="仿宋_GB2312" w:hAnsi="仿宋_GB2312" w:cs="仿宋_GB2312" w:hint="eastAsia"/>
          <w:sz w:val="32"/>
          <w:szCs w:val="32"/>
        </w:rPr>
        <w:t>备改造、技术升级等融资需求，促进粮食稳产增产。</w:t>
      </w:r>
      <w:r>
        <w:rPr>
          <w:rFonts w:ascii="仿宋_GB2312" w:eastAsia="仿宋_GB2312" w:hAnsi="仿宋_GB2312" w:cs="仿宋_GB2312" w:hint="eastAsia"/>
          <w:b/>
          <w:bCs/>
          <w:sz w:val="32"/>
          <w:szCs w:val="32"/>
        </w:rPr>
        <w:t>加大高标准农田和水利基础设施建设信贷投放</w:t>
      </w:r>
      <w:r>
        <w:rPr>
          <w:rFonts w:ascii="仿宋_GB2312" w:eastAsia="仿宋_GB2312" w:hAnsi="仿宋_GB2312" w:cs="仿宋_GB2312" w:hint="eastAsia"/>
          <w:sz w:val="32"/>
          <w:szCs w:val="32"/>
        </w:rPr>
        <w:t>，鼓励将符合条件的项目整省整市打捆打包，统筹构建多元化贷款偿还渠道。加强种业振兴等农业关键核心技术攻关金融支撑，</w:t>
      </w:r>
      <w:r>
        <w:rPr>
          <w:rFonts w:ascii="仿宋_GB2312" w:eastAsia="仿宋_GB2312" w:hAnsi="仿宋_GB2312" w:cs="仿宋_GB2312" w:hint="eastAsia"/>
          <w:b/>
          <w:bCs/>
          <w:sz w:val="32"/>
          <w:szCs w:val="32"/>
        </w:rPr>
        <w:t>强化农业科技装备和绿色发展融资支持，加大乡村产业高质量发展金融资源投入</w:t>
      </w:r>
      <w:r>
        <w:rPr>
          <w:rFonts w:ascii="仿宋_GB2312" w:eastAsia="仿宋_GB2312" w:hAnsi="仿宋_GB2312" w:cs="仿宋_GB2312" w:hint="eastAsia"/>
          <w:sz w:val="32"/>
          <w:szCs w:val="32"/>
        </w:rPr>
        <w:t>。优化和美乡村建设和城乡融合发展金融服务，提升新市民金融服务水平，改善县域消费金融服务。强化脱贫地区和脱贫人口金融支持，持续深化金融机构定点帮扶工作。</w:t>
      </w:r>
    </w:p>
    <w:p w:rsidR="003440B0" w:rsidRDefault="00EB67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《意见》明确，要强化精准滴灌和正向激励，加大货币政策</w:t>
      </w:r>
      <w:r>
        <w:rPr>
          <w:rFonts w:ascii="仿宋_GB2312" w:eastAsia="仿宋_GB2312" w:hAnsi="仿宋_GB2312" w:cs="仿宋_GB2312" w:hint="eastAsia"/>
          <w:sz w:val="32"/>
          <w:szCs w:val="32"/>
        </w:rPr>
        <w:lastRenderedPageBreak/>
        <w:t>工具支持力度，</w:t>
      </w:r>
      <w:r>
        <w:rPr>
          <w:rFonts w:ascii="仿宋_GB2312" w:eastAsia="仿宋_GB2312" w:hAnsi="仿宋_GB2312" w:cs="仿宋_GB2312" w:hint="eastAsia"/>
          <w:b/>
          <w:bCs/>
          <w:sz w:val="32"/>
          <w:szCs w:val="32"/>
        </w:rPr>
        <w:t>加强财政金融政策协同</w:t>
      </w:r>
      <w:r>
        <w:rPr>
          <w:rFonts w:ascii="仿宋_GB2312" w:eastAsia="仿宋_GB2312" w:hAnsi="仿宋_GB2312" w:cs="仿宋_GB2312" w:hint="eastAsia"/>
          <w:sz w:val="32"/>
          <w:szCs w:val="32"/>
        </w:rPr>
        <w:t>，形成</w:t>
      </w:r>
      <w:r>
        <w:rPr>
          <w:rFonts w:ascii="仿宋_GB2312" w:eastAsia="仿宋_GB2312" w:hAnsi="仿宋_GB2312" w:cs="仿宋_GB2312" w:hint="eastAsia"/>
          <w:sz w:val="32"/>
          <w:szCs w:val="32"/>
        </w:rPr>
        <w:t>金融支农综合体系。强化金融机构组织功能，</w:t>
      </w:r>
      <w:r>
        <w:rPr>
          <w:rFonts w:ascii="仿宋_GB2312" w:eastAsia="仿宋_GB2312" w:hAnsi="仿宋_GB2312" w:cs="仿宋_GB2312" w:hint="eastAsia"/>
          <w:b/>
          <w:bCs/>
          <w:sz w:val="32"/>
          <w:szCs w:val="32"/>
        </w:rPr>
        <w:t>拓展多元化金融服务，增强保险保障服务能力</w:t>
      </w:r>
      <w:r>
        <w:rPr>
          <w:rFonts w:ascii="仿宋_GB2312" w:eastAsia="仿宋_GB2312" w:hAnsi="仿宋_GB2312" w:cs="仿宋_GB2312" w:hint="eastAsia"/>
          <w:sz w:val="32"/>
          <w:szCs w:val="32"/>
        </w:rPr>
        <w:t>。完善农村产权确权颁证、抵押登记、流转交易、评估处置机制，推动融资配套要素市场改革。提升农村基础金融服务水平，强化统计监测与考核评估，切实提高建设农业强国金融服务质效。</w:t>
      </w:r>
    </w:p>
    <w:p w:rsidR="003440B0" w:rsidRDefault="00EB67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月末，涉农贷款余额</w:t>
      </w:r>
      <w:r>
        <w:rPr>
          <w:rFonts w:ascii="仿宋_GB2312" w:eastAsia="仿宋_GB2312" w:hAnsi="仿宋_GB2312" w:cs="仿宋_GB2312" w:hint="eastAsia"/>
          <w:sz w:val="32"/>
          <w:szCs w:val="32"/>
        </w:rPr>
        <w:t>53.16</w:t>
      </w:r>
      <w:r>
        <w:rPr>
          <w:rFonts w:ascii="仿宋_GB2312" w:eastAsia="仿宋_GB2312" w:hAnsi="仿宋_GB2312" w:cs="仿宋_GB2312" w:hint="eastAsia"/>
          <w:sz w:val="32"/>
          <w:szCs w:val="32"/>
        </w:rPr>
        <w:t>万亿元，同比增长</w:t>
      </w:r>
      <w:r>
        <w:rPr>
          <w:rFonts w:ascii="仿宋_GB2312" w:eastAsia="仿宋_GB2312" w:hAnsi="仿宋_GB2312" w:cs="仿宋_GB2312" w:hint="eastAsia"/>
          <w:sz w:val="32"/>
          <w:szCs w:val="32"/>
        </w:rPr>
        <w:t>16.4%</w:t>
      </w:r>
      <w:r>
        <w:rPr>
          <w:rFonts w:ascii="仿宋_GB2312" w:eastAsia="仿宋_GB2312" w:hAnsi="仿宋_GB2312" w:cs="仿宋_GB2312" w:hint="eastAsia"/>
          <w:sz w:val="32"/>
          <w:szCs w:val="32"/>
        </w:rPr>
        <w:t>。下一步，中国人民银行、金融监管总局、中国证监会、财政部、农业农村部将继续以习近平新时代中国特色社会主义思想为指导，</w:t>
      </w:r>
      <w:r>
        <w:rPr>
          <w:rFonts w:ascii="仿宋_GB2312" w:eastAsia="仿宋_GB2312" w:hAnsi="仿宋_GB2312" w:cs="仿宋_GB2312" w:hint="eastAsia"/>
          <w:b/>
          <w:bCs/>
          <w:sz w:val="32"/>
          <w:szCs w:val="32"/>
        </w:rPr>
        <w:t>推动健全多层次、广覆盖、可持续的现代农村金融服务体系，引导更多金融资源配置到</w:t>
      </w:r>
      <w:r>
        <w:rPr>
          <w:rFonts w:ascii="仿宋_GB2312" w:eastAsia="仿宋_GB2312" w:hAnsi="仿宋_GB2312" w:cs="仿宋_GB2312" w:hint="eastAsia"/>
          <w:b/>
          <w:bCs/>
          <w:sz w:val="32"/>
          <w:szCs w:val="32"/>
        </w:rPr>
        <w:t>乡村振兴重点领域和薄弱环节</w:t>
      </w:r>
      <w:r>
        <w:rPr>
          <w:rFonts w:ascii="仿宋_GB2312" w:eastAsia="仿宋_GB2312" w:hAnsi="仿宋_GB2312" w:cs="仿宋_GB2312" w:hint="eastAsia"/>
          <w:sz w:val="32"/>
          <w:szCs w:val="32"/>
        </w:rPr>
        <w:t>，为全面推进乡村振兴、加快建设农业强国提供更强有力金融支撑。</w:t>
      </w:r>
    </w:p>
    <w:p w:rsidR="003440B0" w:rsidRDefault="003440B0">
      <w:pPr>
        <w:ind w:firstLineChars="200" w:firstLine="640"/>
        <w:rPr>
          <w:rFonts w:ascii="仿宋_GB2312" w:eastAsia="仿宋_GB2312" w:hAnsi="仿宋_GB2312" w:cs="仿宋_GB2312"/>
          <w:sz w:val="32"/>
          <w:szCs w:val="32"/>
        </w:rPr>
      </w:pPr>
    </w:p>
    <w:p w:rsidR="003440B0" w:rsidRDefault="00EB67D2">
      <w:pPr>
        <w:numPr>
          <w:ilvl w:val="0"/>
          <w:numId w:val="3"/>
        </w:num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中国人民银行增加支农支小再贷款、再贴现额度</w:t>
      </w:r>
      <w:r>
        <w:rPr>
          <w:rFonts w:ascii="仿宋_GB2312" w:eastAsia="仿宋_GB2312" w:hAnsi="仿宋_GB2312" w:cs="仿宋_GB2312" w:hint="eastAsia"/>
          <w:b/>
          <w:bCs/>
          <w:sz w:val="32"/>
          <w:szCs w:val="32"/>
        </w:rPr>
        <w:t>2000</w:t>
      </w:r>
      <w:r>
        <w:rPr>
          <w:rFonts w:ascii="仿宋_GB2312" w:eastAsia="仿宋_GB2312" w:hAnsi="仿宋_GB2312" w:cs="仿宋_GB2312" w:hint="eastAsia"/>
          <w:b/>
          <w:bCs/>
          <w:sz w:val="32"/>
          <w:szCs w:val="32"/>
        </w:rPr>
        <w:t>亿元</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进一步加大对“三农”、小微和民营企业金融支持力度</w:t>
      </w:r>
    </w:p>
    <w:p w:rsidR="003440B0" w:rsidRDefault="00EB67D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为贯彻落实</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日国务院常务会议精神，推动经济持续回升向好，</w:t>
      </w:r>
      <w:r>
        <w:rPr>
          <w:rFonts w:ascii="仿宋_GB2312" w:eastAsia="仿宋_GB2312" w:hAnsi="仿宋_GB2312" w:cs="仿宋_GB2312" w:hint="eastAsia"/>
          <w:b/>
          <w:bCs/>
          <w:sz w:val="32"/>
          <w:szCs w:val="32"/>
        </w:rPr>
        <w:t>中国人民银行决定增加支农支小再贷款、再贴现额度</w:t>
      </w:r>
      <w:r>
        <w:rPr>
          <w:rFonts w:ascii="仿宋_GB2312" w:eastAsia="仿宋_GB2312" w:hAnsi="仿宋_GB2312" w:cs="仿宋_GB2312" w:hint="eastAsia"/>
          <w:b/>
          <w:bCs/>
          <w:sz w:val="32"/>
          <w:szCs w:val="32"/>
        </w:rPr>
        <w:t>2000</w:t>
      </w:r>
      <w:r>
        <w:rPr>
          <w:rFonts w:ascii="仿宋_GB2312" w:eastAsia="仿宋_GB2312" w:hAnsi="仿宋_GB2312" w:cs="仿宋_GB2312" w:hint="eastAsia"/>
          <w:b/>
          <w:bCs/>
          <w:sz w:val="32"/>
          <w:szCs w:val="32"/>
        </w:rPr>
        <w:t>亿元，进一步加大对“三农”、小微和民营企业金融支持力度</w:t>
      </w:r>
      <w:r>
        <w:rPr>
          <w:rFonts w:ascii="仿宋_GB2312" w:eastAsia="仿宋_GB2312" w:hAnsi="仿宋_GB2312" w:cs="仿宋_GB2312" w:hint="eastAsia"/>
          <w:sz w:val="32"/>
          <w:szCs w:val="32"/>
        </w:rPr>
        <w:t>，发挥精准滴灌作用，降低社会融资成本，促进扩大就业，支持经济内生动力恢复。</w:t>
      </w:r>
      <w:r>
        <w:rPr>
          <w:rFonts w:ascii="仿宋_GB2312" w:eastAsia="仿宋_GB2312" w:hAnsi="仿宋_GB2312" w:cs="仿宋_GB2312" w:hint="eastAsia"/>
          <w:sz w:val="32"/>
          <w:szCs w:val="32"/>
        </w:rPr>
        <w:t>其中，</w:t>
      </w:r>
      <w:r>
        <w:rPr>
          <w:rFonts w:ascii="仿宋_GB2312" w:eastAsia="仿宋_GB2312" w:hAnsi="仿宋_GB2312" w:cs="仿宋_GB2312" w:hint="eastAsia"/>
          <w:b/>
          <w:bCs/>
          <w:sz w:val="32"/>
          <w:szCs w:val="32"/>
        </w:rPr>
        <w:t>支农再贷款、支小再贷款、再贴</w:t>
      </w:r>
      <w:r>
        <w:rPr>
          <w:rFonts w:ascii="仿宋_GB2312" w:eastAsia="仿宋_GB2312" w:hAnsi="仿宋_GB2312" w:cs="仿宋_GB2312" w:hint="eastAsia"/>
          <w:b/>
          <w:bCs/>
          <w:sz w:val="32"/>
          <w:szCs w:val="32"/>
        </w:rPr>
        <w:lastRenderedPageBreak/>
        <w:t>现</w:t>
      </w:r>
      <w:r>
        <w:rPr>
          <w:rFonts w:ascii="仿宋_GB2312" w:eastAsia="仿宋_GB2312" w:hAnsi="仿宋_GB2312" w:cs="仿宋_GB2312" w:hint="eastAsia"/>
          <w:sz w:val="32"/>
          <w:szCs w:val="32"/>
        </w:rPr>
        <w:t>分别增加额度</w:t>
      </w:r>
      <w:r>
        <w:rPr>
          <w:rFonts w:ascii="仿宋_GB2312" w:eastAsia="仿宋_GB2312" w:hAnsi="仿宋_GB2312" w:cs="仿宋_GB2312" w:hint="eastAsia"/>
          <w:sz w:val="32"/>
          <w:szCs w:val="32"/>
        </w:rPr>
        <w:t>400</w:t>
      </w:r>
      <w:r>
        <w:rPr>
          <w:rFonts w:ascii="仿宋_GB2312" w:eastAsia="仿宋_GB2312" w:hAnsi="仿宋_GB2312" w:cs="仿宋_GB2312" w:hint="eastAsia"/>
          <w:sz w:val="32"/>
          <w:szCs w:val="32"/>
        </w:rPr>
        <w:t>亿元、</w:t>
      </w:r>
      <w:r>
        <w:rPr>
          <w:rFonts w:ascii="仿宋_GB2312" w:eastAsia="仿宋_GB2312" w:hAnsi="仿宋_GB2312" w:cs="仿宋_GB2312" w:hint="eastAsia"/>
          <w:sz w:val="32"/>
          <w:szCs w:val="32"/>
        </w:rPr>
        <w:t>1200</w:t>
      </w:r>
      <w:r>
        <w:rPr>
          <w:rFonts w:ascii="仿宋_GB2312" w:eastAsia="仿宋_GB2312" w:hAnsi="仿宋_GB2312" w:cs="仿宋_GB2312" w:hint="eastAsia"/>
          <w:sz w:val="32"/>
          <w:szCs w:val="32"/>
        </w:rPr>
        <w:t>亿元、</w:t>
      </w:r>
      <w:r>
        <w:rPr>
          <w:rFonts w:ascii="仿宋_GB2312" w:eastAsia="仿宋_GB2312" w:hAnsi="仿宋_GB2312" w:cs="仿宋_GB2312" w:hint="eastAsia"/>
          <w:sz w:val="32"/>
          <w:szCs w:val="32"/>
        </w:rPr>
        <w:t>400</w:t>
      </w:r>
      <w:r>
        <w:rPr>
          <w:rFonts w:ascii="仿宋_GB2312" w:eastAsia="仿宋_GB2312" w:hAnsi="仿宋_GB2312" w:cs="仿宋_GB2312" w:hint="eastAsia"/>
          <w:sz w:val="32"/>
          <w:szCs w:val="32"/>
        </w:rPr>
        <w:t>亿元，</w:t>
      </w:r>
      <w:r>
        <w:rPr>
          <w:rFonts w:ascii="仿宋_GB2312" w:eastAsia="仿宋_GB2312" w:hAnsi="仿宋_GB2312" w:cs="仿宋_GB2312" w:hint="eastAsia"/>
          <w:b/>
          <w:bCs/>
          <w:sz w:val="32"/>
          <w:szCs w:val="32"/>
        </w:rPr>
        <w:t>调增后额度分别为</w:t>
      </w:r>
      <w:r>
        <w:rPr>
          <w:rFonts w:ascii="仿宋_GB2312" w:eastAsia="仿宋_GB2312" w:hAnsi="仿宋_GB2312" w:cs="仿宋_GB2312" w:hint="eastAsia"/>
          <w:b/>
          <w:bCs/>
          <w:sz w:val="32"/>
          <w:szCs w:val="32"/>
        </w:rPr>
        <w:t>8000</w:t>
      </w:r>
      <w:r>
        <w:rPr>
          <w:rFonts w:ascii="仿宋_GB2312" w:eastAsia="仿宋_GB2312" w:hAnsi="仿宋_GB2312" w:cs="仿宋_GB2312" w:hint="eastAsia"/>
          <w:b/>
          <w:bCs/>
          <w:sz w:val="32"/>
          <w:szCs w:val="32"/>
        </w:rPr>
        <w:t>亿元、</w:t>
      </w:r>
      <w:r>
        <w:rPr>
          <w:rFonts w:ascii="仿宋_GB2312" w:eastAsia="仿宋_GB2312" w:hAnsi="仿宋_GB2312" w:cs="仿宋_GB2312" w:hint="eastAsia"/>
          <w:b/>
          <w:bCs/>
          <w:sz w:val="32"/>
          <w:szCs w:val="32"/>
        </w:rPr>
        <w:t>17600</w:t>
      </w:r>
      <w:r>
        <w:rPr>
          <w:rFonts w:ascii="仿宋_GB2312" w:eastAsia="仿宋_GB2312" w:hAnsi="仿宋_GB2312" w:cs="仿宋_GB2312" w:hint="eastAsia"/>
          <w:b/>
          <w:bCs/>
          <w:sz w:val="32"/>
          <w:szCs w:val="32"/>
        </w:rPr>
        <w:t>亿元、</w:t>
      </w:r>
      <w:r>
        <w:rPr>
          <w:rFonts w:ascii="仿宋_GB2312" w:eastAsia="仿宋_GB2312" w:hAnsi="仿宋_GB2312" w:cs="仿宋_GB2312" w:hint="eastAsia"/>
          <w:b/>
          <w:bCs/>
          <w:sz w:val="32"/>
          <w:szCs w:val="32"/>
        </w:rPr>
        <w:t>7400</w:t>
      </w:r>
      <w:r>
        <w:rPr>
          <w:rFonts w:ascii="仿宋_GB2312" w:eastAsia="仿宋_GB2312" w:hAnsi="仿宋_GB2312" w:cs="仿宋_GB2312" w:hint="eastAsia"/>
          <w:b/>
          <w:bCs/>
          <w:sz w:val="32"/>
          <w:szCs w:val="32"/>
        </w:rPr>
        <w:t>亿元。</w:t>
      </w:r>
    </w:p>
    <w:p w:rsidR="003440B0" w:rsidRDefault="003440B0">
      <w:pPr>
        <w:ind w:firstLineChars="200" w:firstLine="640"/>
        <w:rPr>
          <w:rFonts w:ascii="仿宋_GB2312" w:eastAsia="仿宋_GB2312" w:hAnsi="仿宋_GB2312" w:cs="仿宋_GB2312"/>
          <w:sz w:val="32"/>
          <w:szCs w:val="32"/>
        </w:rPr>
      </w:pPr>
    </w:p>
    <w:p w:rsidR="003440B0" w:rsidRDefault="00EB67D2">
      <w:pPr>
        <w:numPr>
          <w:ilvl w:val="0"/>
          <w:numId w:val="1"/>
        </w:num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中国银保监会办公厅关于</w:t>
      </w:r>
      <w:r>
        <w:rPr>
          <w:rFonts w:ascii="仿宋_GB2312" w:eastAsia="仿宋_GB2312" w:hAnsi="仿宋_GB2312" w:cs="仿宋_GB2312" w:hint="eastAsia"/>
          <w:b/>
          <w:bCs/>
          <w:sz w:val="32"/>
          <w:szCs w:val="32"/>
        </w:rPr>
        <w:t>2023</w:t>
      </w:r>
      <w:r>
        <w:rPr>
          <w:rFonts w:ascii="仿宋_GB2312" w:eastAsia="仿宋_GB2312" w:hAnsi="仿宋_GB2312" w:cs="仿宋_GB2312" w:hint="eastAsia"/>
          <w:b/>
          <w:bCs/>
          <w:sz w:val="32"/>
          <w:szCs w:val="32"/>
        </w:rPr>
        <w:t>年加力提升小微企业金融服务质量的通知</w:t>
      </w:r>
    </w:p>
    <w:p w:rsidR="003440B0" w:rsidRDefault="00EB67D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会议明确，要着力形成与实体经济发展相适应的小微企业金融服务体系，</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年总体继续保持增量扩面态势，服务结构不断优化，重点领域服务精准度持续提升，保险保障渠道逐步拓展。</w:t>
      </w:r>
    </w:p>
    <w:p w:rsidR="003440B0" w:rsidRDefault="00EB67D2">
      <w:pPr>
        <w:rPr>
          <w:rFonts w:ascii="仿宋_GB2312" w:eastAsia="仿宋_GB2312" w:hAnsi="仿宋_GB2312" w:cs="仿宋_GB2312"/>
          <w:sz w:val="32"/>
          <w:szCs w:val="32"/>
        </w:rPr>
      </w:pPr>
      <w:r>
        <w:rPr>
          <w:rFonts w:ascii="仿宋_GB2312" w:eastAsia="仿宋_GB2312" w:hAnsi="仿宋_GB2312" w:cs="仿宋_GB2312" w:hint="eastAsia"/>
          <w:sz w:val="32"/>
          <w:szCs w:val="32"/>
        </w:rPr>
        <w:t>贷款利率总体保持平稳，推动小微企业综合融资成本逐步降低。</w:t>
      </w:r>
    </w:p>
    <w:p w:rsidR="003440B0" w:rsidRDefault="00EB67D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会议强调，加强服务对接，精准支持重点领域小微市场主体。银行保险机构要住宿、餐饮、零售、</w:t>
      </w:r>
      <w:r>
        <w:rPr>
          <w:rFonts w:ascii="仿宋_GB2312" w:eastAsia="仿宋_GB2312" w:hAnsi="仿宋_GB2312" w:cs="仿宋_GB2312" w:hint="eastAsia"/>
          <w:sz w:val="32"/>
          <w:szCs w:val="32"/>
        </w:rPr>
        <w:t>教育、文化、旅游、体育、交通运输、外贸等领域小微市场主体，特别是经营前景良好、因疫情影响经营尚未完全恢复的小微企业，满足其合理金融需求。银行保险机构要立足现代化产业体系建设需要，围绕小微企业科技创新、专精特新发展，构建专业化的服务机制，加大内部激励力度，综合运用动产和知识产权、供应链票据、应收账款融资及财产保险、责任保险等服务方式，强化资金支持和风险保障，加强与直接融资有机衔接。银行保险机构要主动对接产业政策、科技政策、财政政策、社会政策，结合当地实际构建“金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”服务机制，将政府引导、政策支持、金融资源合</w:t>
      </w:r>
      <w:r>
        <w:rPr>
          <w:rFonts w:ascii="仿宋_GB2312" w:eastAsia="仿宋_GB2312" w:hAnsi="仿宋_GB2312" w:cs="仿宋_GB2312" w:hint="eastAsia"/>
          <w:sz w:val="32"/>
          <w:szCs w:val="32"/>
        </w:rPr>
        <w:t>力转化为小微企业</w:t>
      </w:r>
      <w:r>
        <w:rPr>
          <w:rFonts w:ascii="仿宋_GB2312" w:eastAsia="仿宋_GB2312" w:hAnsi="仿宋_GB2312" w:cs="仿宋_GB2312" w:hint="eastAsia"/>
          <w:sz w:val="32"/>
          <w:szCs w:val="32"/>
        </w:rPr>
        <w:lastRenderedPageBreak/>
        <w:t>发展动能。</w:t>
      </w:r>
    </w:p>
    <w:p w:rsidR="003440B0" w:rsidRDefault="00EB67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议指出，优化小微企业信贷结构。重点围绕小微企业无贷户加大支持，扩大服务覆盖面。加强对小微企业信用信息的挖掘运用，鼓励发展随借随还贷款产品，更好满足个体工商户用款急、期限短、频度高的资金需求。</w:t>
      </w:r>
      <w:r>
        <w:rPr>
          <w:rFonts w:ascii="仿宋_GB2312" w:eastAsia="仿宋_GB2312" w:hAnsi="仿宋_GB2312" w:cs="仿宋_GB2312" w:hint="eastAsia"/>
          <w:b/>
          <w:bCs/>
          <w:sz w:val="32"/>
          <w:szCs w:val="32"/>
        </w:rPr>
        <w:t>增加信用贷款投放，降低对担保等第二还款来源的依赖。</w:t>
      </w:r>
      <w:r>
        <w:rPr>
          <w:rFonts w:ascii="仿宋_GB2312" w:eastAsia="仿宋_GB2312" w:hAnsi="仿宋_GB2312" w:cs="仿宋_GB2312" w:hint="eastAsia"/>
          <w:sz w:val="32"/>
          <w:szCs w:val="32"/>
        </w:rPr>
        <w:t>合理满足单户授信总额</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万元以上的小微企业信贷需求，支持小微企业发展壮大。</w:t>
      </w:r>
    </w:p>
    <w:p w:rsidR="003440B0" w:rsidRDefault="003440B0">
      <w:pPr>
        <w:ind w:firstLineChars="200" w:firstLine="640"/>
        <w:rPr>
          <w:rFonts w:ascii="仿宋_GB2312" w:eastAsia="仿宋_GB2312" w:hAnsi="仿宋_GB2312" w:cs="仿宋_GB2312"/>
          <w:sz w:val="32"/>
          <w:szCs w:val="32"/>
        </w:rPr>
      </w:pPr>
    </w:p>
    <w:p w:rsidR="003440B0" w:rsidRDefault="00EB67D2">
      <w:pPr>
        <w:numPr>
          <w:ilvl w:val="0"/>
          <w:numId w:val="1"/>
        </w:num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国家税务总局办公厅、中华全国工商业联合会办公厅关于印发《</w:t>
      </w:r>
      <w:r>
        <w:rPr>
          <w:rFonts w:ascii="仿宋_GB2312" w:eastAsia="仿宋_GB2312" w:hAnsi="仿宋_GB2312" w:cs="仿宋_GB2312" w:hint="eastAsia"/>
          <w:b/>
          <w:bCs/>
          <w:sz w:val="32"/>
          <w:szCs w:val="32"/>
        </w:rPr>
        <w:t>2023</w:t>
      </w:r>
      <w:r>
        <w:rPr>
          <w:rFonts w:ascii="仿宋_GB2312" w:eastAsia="仿宋_GB2312" w:hAnsi="仿宋_GB2312" w:cs="仿宋_GB2312" w:hint="eastAsia"/>
          <w:b/>
          <w:bCs/>
          <w:sz w:val="32"/>
          <w:szCs w:val="32"/>
        </w:rPr>
        <w:t>年助力小微经营主体发展“春雨润苗”专项行动方案》的通知</w:t>
      </w:r>
    </w:p>
    <w:p w:rsidR="003440B0" w:rsidRDefault="00EB67D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各级税务机关及工商联联合开展“实措纾困解</w:t>
      </w:r>
      <w:r>
        <w:rPr>
          <w:rFonts w:ascii="仿宋_GB2312" w:eastAsia="仿宋_GB2312" w:hAnsi="仿宋_GB2312" w:cs="仿宋_GB2312" w:hint="eastAsia"/>
          <w:sz w:val="32"/>
          <w:szCs w:val="32"/>
        </w:rPr>
        <w:t>难题”系列活动，针对小微经营主体生产经营困境，加大纾困支持力度，聚焦融资难、产销难、合规难等问题，主动助力小微经营主体排忧解难。</w:t>
      </w:r>
    </w:p>
    <w:p w:rsidR="003440B0" w:rsidRDefault="00EB67D2">
      <w:pPr>
        <w:ind w:firstLine="640"/>
        <w:rPr>
          <w:rFonts w:ascii="仿宋_GB2312" w:eastAsia="仿宋_GB2312" w:hAnsi="仿宋_GB2312" w:cs="仿宋_GB2312"/>
          <w:sz w:val="32"/>
          <w:szCs w:val="32"/>
        </w:rPr>
      </w:pPr>
      <w:r>
        <w:rPr>
          <w:rFonts w:ascii="仿宋_GB2312" w:eastAsia="仿宋_GB2312" w:hAnsi="仿宋_GB2312" w:cs="仿宋_GB2312"/>
          <w:sz w:val="32"/>
          <w:szCs w:val="32"/>
        </w:rPr>
        <w:t>深化税银互动，降低融资成本。建立以纳税信用信息为基础、银行业金融机构广泛参与、金融监管部门审慎监管为保障的协同推进模式，在依法合规、风险可控的前提下，引导金融机构加大对科技创新、绿色发展、对外贸易等领域小微经营主体的支持力度，简化申贷流程、提速贷款发放，帮助企业</w:t>
      </w:r>
      <w:r>
        <w:rPr>
          <w:rFonts w:ascii="仿宋_GB2312" w:eastAsia="仿宋_GB2312" w:hAnsi="仿宋_GB2312" w:cs="仿宋_GB2312"/>
          <w:b/>
          <w:bCs/>
          <w:sz w:val="32"/>
          <w:szCs w:val="32"/>
        </w:rPr>
        <w:t>将</w:t>
      </w:r>
      <w:r>
        <w:rPr>
          <w:rFonts w:ascii="仿宋_GB2312" w:eastAsia="仿宋_GB2312" w:hAnsi="仿宋_GB2312" w:cs="仿宋_GB2312"/>
          <w:b/>
          <w:bCs/>
          <w:sz w:val="32"/>
          <w:szCs w:val="32"/>
        </w:rPr>
        <w:t>“</w:t>
      </w:r>
      <w:r>
        <w:rPr>
          <w:rFonts w:ascii="仿宋_GB2312" w:eastAsia="仿宋_GB2312" w:hAnsi="仿宋_GB2312" w:cs="仿宋_GB2312"/>
          <w:b/>
          <w:bCs/>
          <w:sz w:val="32"/>
          <w:szCs w:val="32"/>
        </w:rPr>
        <w:t>纳税信用</w:t>
      </w:r>
      <w:r>
        <w:rPr>
          <w:rFonts w:ascii="仿宋_GB2312" w:eastAsia="仿宋_GB2312" w:hAnsi="仿宋_GB2312" w:cs="仿宋_GB2312"/>
          <w:b/>
          <w:bCs/>
          <w:sz w:val="32"/>
          <w:szCs w:val="32"/>
        </w:rPr>
        <w:t>”</w:t>
      </w:r>
      <w:r>
        <w:rPr>
          <w:rFonts w:ascii="仿宋_GB2312" w:eastAsia="仿宋_GB2312" w:hAnsi="仿宋_GB2312" w:cs="仿宋_GB2312"/>
          <w:b/>
          <w:bCs/>
          <w:sz w:val="32"/>
          <w:szCs w:val="32"/>
        </w:rPr>
        <w:t>转化</w:t>
      </w:r>
      <w:r>
        <w:rPr>
          <w:rFonts w:ascii="仿宋_GB2312" w:eastAsia="仿宋_GB2312" w:hAnsi="仿宋_GB2312" w:cs="仿宋_GB2312"/>
          <w:b/>
          <w:bCs/>
          <w:sz w:val="32"/>
          <w:szCs w:val="32"/>
        </w:rPr>
        <w:lastRenderedPageBreak/>
        <w:t>为</w:t>
      </w:r>
      <w:r>
        <w:rPr>
          <w:rFonts w:ascii="仿宋_GB2312" w:eastAsia="仿宋_GB2312" w:hAnsi="仿宋_GB2312" w:cs="仿宋_GB2312"/>
          <w:b/>
          <w:bCs/>
          <w:sz w:val="32"/>
          <w:szCs w:val="32"/>
        </w:rPr>
        <w:t>“</w:t>
      </w:r>
      <w:r>
        <w:rPr>
          <w:rFonts w:ascii="仿宋_GB2312" w:eastAsia="仿宋_GB2312" w:hAnsi="仿宋_GB2312" w:cs="仿宋_GB2312"/>
          <w:b/>
          <w:bCs/>
          <w:sz w:val="32"/>
          <w:szCs w:val="32"/>
        </w:rPr>
        <w:t>融资信用</w:t>
      </w:r>
      <w:r>
        <w:rPr>
          <w:rFonts w:ascii="仿宋_GB2312" w:eastAsia="仿宋_GB2312" w:hAnsi="仿宋_GB2312" w:cs="仿宋_GB2312"/>
          <w:b/>
          <w:bCs/>
          <w:sz w:val="32"/>
          <w:szCs w:val="32"/>
        </w:rPr>
        <w:t>”</w:t>
      </w:r>
      <w:r>
        <w:rPr>
          <w:rFonts w:ascii="仿宋_GB2312" w:eastAsia="仿宋_GB2312" w:hAnsi="仿宋_GB2312" w:cs="仿宋_GB2312"/>
          <w:sz w:val="32"/>
          <w:szCs w:val="32"/>
        </w:rPr>
        <w:t>，并有效利用全国一体化融资信用服务平台网络，拓宽贷款渠道，为小微经营主体缓解融资难问题。</w:t>
      </w:r>
    </w:p>
    <w:p w:rsidR="003440B0" w:rsidRDefault="00EB67D2">
      <w:pPr>
        <w:ind w:firstLine="640"/>
        <w:rPr>
          <w:rFonts w:ascii="仿宋_GB2312" w:eastAsia="仿宋_GB2312" w:hAnsi="仿宋_GB2312" w:cs="仿宋_GB2312"/>
          <w:sz w:val="32"/>
          <w:szCs w:val="32"/>
        </w:rPr>
      </w:pPr>
      <w:r>
        <w:rPr>
          <w:rFonts w:ascii="仿宋_GB2312" w:eastAsia="仿宋_GB2312" w:hAnsi="仿宋_GB2312" w:cs="仿宋_GB2312"/>
          <w:b/>
          <w:bCs/>
          <w:sz w:val="32"/>
          <w:szCs w:val="32"/>
        </w:rPr>
        <w:t>引导主动合规，提升信用水平</w:t>
      </w:r>
      <w:r>
        <w:rPr>
          <w:rFonts w:ascii="仿宋_GB2312" w:eastAsia="仿宋_GB2312" w:hAnsi="仿宋_GB2312" w:cs="仿宋_GB2312"/>
          <w:sz w:val="32"/>
          <w:szCs w:val="32"/>
        </w:rPr>
        <w:t>。做好小微经营主体涉税涉费业务办理带来的信用失信风险事前提醒。</w:t>
      </w:r>
      <w:r>
        <w:rPr>
          <w:rFonts w:ascii="仿宋_GB2312" w:eastAsia="仿宋_GB2312" w:hAnsi="仿宋_GB2312" w:cs="仿宋_GB2312"/>
          <w:b/>
          <w:bCs/>
          <w:sz w:val="32"/>
          <w:szCs w:val="32"/>
        </w:rPr>
        <w:t>动态获取小微企业纳税信用级别变动情形，以</w:t>
      </w:r>
      <w:r>
        <w:rPr>
          <w:rFonts w:ascii="仿宋_GB2312" w:eastAsia="仿宋_GB2312" w:hAnsi="仿宋_GB2312" w:cs="仿宋_GB2312"/>
          <w:b/>
          <w:bCs/>
          <w:sz w:val="32"/>
          <w:szCs w:val="32"/>
        </w:rPr>
        <w:t>“</w:t>
      </w:r>
      <w:r>
        <w:rPr>
          <w:rFonts w:ascii="仿宋_GB2312" w:eastAsia="仿宋_GB2312" w:hAnsi="仿宋_GB2312" w:cs="仿宋_GB2312"/>
          <w:b/>
          <w:bCs/>
          <w:sz w:val="32"/>
          <w:szCs w:val="32"/>
        </w:rPr>
        <w:t>定向投递</w:t>
      </w:r>
      <w:r>
        <w:rPr>
          <w:rFonts w:ascii="仿宋_GB2312" w:eastAsia="仿宋_GB2312" w:hAnsi="仿宋_GB2312" w:cs="仿宋_GB2312"/>
          <w:b/>
          <w:bCs/>
          <w:sz w:val="32"/>
          <w:szCs w:val="32"/>
        </w:rPr>
        <w:t>”</w:t>
      </w:r>
      <w:r>
        <w:rPr>
          <w:rFonts w:ascii="仿宋_GB2312" w:eastAsia="仿宋_GB2312" w:hAnsi="仿宋_GB2312" w:cs="仿宋_GB2312"/>
          <w:b/>
          <w:bCs/>
          <w:sz w:val="32"/>
          <w:szCs w:val="32"/>
        </w:rPr>
        <w:t>的形式主动向纳税人推送纳税信用评分变化情况，引导失信主体自我纠错，并修复信用级别</w:t>
      </w:r>
      <w:r>
        <w:rPr>
          <w:rFonts w:ascii="仿宋_GB2312" w:eastAsia="仿宋_GB2312" w:hAnsi="仿宋_GB2312" w:cs="仿宋_GB2312"/>
          <w:sz w:val="32"/>
          <w:szCs w:val="32"/>
        </w:rPr>
        <w:t>。探索推出小微经营主体纳税信用合规建设指引，完善</w:t>
      </w:r>
      <w:r>
        <w:rPr>
          <w:rFonts w:ascii="仿宋_GB2312" w:eastAsia="仿宋_GB2312" w:hAnsi="仿宋_GB2312" w:cs="仿宋_GB2312"/>
          <w:sz w:val="32"/>
          <w:szCs w:val="32"/>
        </w:rPr>
        <w:t>“</w:t>
      </w:r>
      <w:r>
        <w:rPr>
          <w:rFonts w:ascii="仿宋_GB2312" w:eastAsia="仿宋_GB2312" w:hAnsi="仿宋_GB2312" w:cs="仿宋_GB2312"/>
          <w:sz w:val="32"/>
          <w:szCs w:val="32"/>
        </w:rPr>
        <w:t>信用＋</w:t>
      </w:r>
      <w:r>
        <w:rPr>
          <w:rFonts w:ascii="仿宋_GB2312" w:eastAsia="仿宋_GB2312" w:hAnsi="仿宋_GB2312" w:cs="仿宋_GB2312"/>
          <w:sz w:val="32"/>
          <w:szCs w:val="32"/>
        </w:rPr>
        <w:t>”</w:t>
      </w:r>
      <w:r>
        <w:rPr>
          <w:rFonts w:ascii="仿宋_GB2312" w:eastAsia="仿宋_GB2312" w:hAnsi="仿宋_GB2312" w:cs="仿宋_GB2312"/>
          <w:sz w:val="32"/>
          <w:szCs w:val="32"/>
        </w:rPr>
        <w:t>体系建设，有效规避失信风险，提升主动合规能力。探索建立信用合规建设正向激励机制，鼓励更多小微经营主体加强信用合规建设，提升自身信用水平。</w:t>
      </w:r>
    </w:p>
    <w:p w:rsidR="003440B0" w:rsidRDefault="003440B0">
      <w:pPr>
        <w:rPr>
          <w:rFonts w:ascii="仿宋_GB2312" w:eastAsia="仿宋_GB2312" w:hAnsi="仿宋_GB2312" w:cs="仿宋_GB2312"/>
          <w:sz w:val="32"/>
          <w:szCs w:val="32"/>
        </w:rPr>
      </w:pPr>
    </w:p>
    <w:p w:rsidR="003440B0" w:rsidRDefault="00EB67D2">
      <w:pPr>
        <w:numPr>
          <w:ilvl w:val="0"/>
          <w:numId w:val="4"/>
        </w:num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中国共产党四川省第十二届委员会第三次全体会议在成都召开</w:t>
      </w:r>
    </w:p>
    <w:p w:rsidR="003440B0" w:rsidRDefault="00EB67D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全会坚持以习近平新时代中国特色社会主义思想为指导，深入贯彻习近平总书记对四川工作系列重要指示精神和党中央决策部署，听取和讨论了王晓晖代表省委常委会作的工作报告，</w:t>
      </w:r>
      <w:r>
        <w:rPr>
          <w:rFonts w:ascii="仿宋_GB2312" w:eastAsia="仿宋_GB2312" w:hAnsi="仿宋_GB2312" w:cs="仿宋_GB2312" w:hint="eastAsia"/>
          <w:b/>
          <w:bCs/>
          <w:sz w:val="32"/>
          <w:szCs w:val="32"/>
        </w:rPr>
        <w:t>审议通过了《中共四川省委关于深入推进新型工业化加快建设现代化产业体系的决定》。</w:t>
      </w:r>
    </w:p>
    <w:p w:rsidR="003440B0" w:rsidRDefault="00EB67D2">
      <w:pPr>
        <w:ind w:firstLine="640"/>
        <w:rPr>
          <w:rFonts w:ascii="仿宋_GB2312" w:eastAsia="仿宋_GB2312" w:hAnsi="仿宋_GB2312" w:cs="仿宋_GB2312"/>
          <w:b/>
          <w:bCs/>
          <w:sz w:val="32"/>
          <w:szCs w:val="32"/>
        </w:rPr>
      </w:pPr>
      <w:r>
        <w:rPr>
          <w:rFonts w:ascii="仿宋_GB2312" w:eastAsia="仿宋_GB2312" w:hAnsi="仿宋_GB2312" w:cs="仿宋_GB2312"/>
          <w:sz w:val="32"/>
          <w:szCs w:val="32"/>
        </w:rPr>
        <w:t>全会指出，新型工业化是现代化的必由之路，现代化产业体系是实现经济现代化的重要标志。当前，全球新一轮科技革命和</w:t>
      </w:r>
      <w:r>
        <w:rPr>
          <w:rFonts w:ascii="仿宋_GB2312" w:eastAsia="仿宋_GB2312" w:hAnsi="仿宋_GB2312" w:cs="仿宋_GB2312"/>
          <w:sz w:val="32"/>
          <w:szCs w:val="32"/>
        </w:rPr>
        <w:lastRenderedPageBreak/>
        <w:t>产业变革深入发展，我国正加快由制造大国向制造强国迈进。四川是全国经济大省和国家战略大后方，正处于工业化中期向中后期转型推进的关键阶段，</w:t>
      </w:r>
      <w:r>
        <w:rPr>
          <w:rFonts w:ascii="仿宋_GB2312" w:eastAsia="仿宋_GB2312" w:hAnsi="仿宋_GB2312" w:cs="仿宋_GB2312"/>
          <w:b/>
          <w:bCs/>
          <w:sz w:val="32"/>
          <w:szCs w:val="32"/>
        </w:rPr>
        <w:t>必须把推进新型工业化摆在全局工</w:t>
      </w:r>
      <w:r>
        <w:rPr>
          <w:rFonts w:ascii="仿宋_GB2312" w:eastAsia="仿宋_GB2312" w:hAnsi="仿宋_GB2312" w:cs="仿宋_GB2312"/>
          <w:b/>
          <w:bCs/>
          <w:sz w:val="32"/>
          <w:szCs w:val="32"/>
        </w:rPr>
        <w:t>作的突出位置，加快建设服务国家全局、体现四川特色的现代化产业体系，为全面建设社会主义现代化四川奠定坚实基础。</w:t>
      </w:r>
    </w:p>
    <w:p w:rsidR="003440B0" w:rsidRDefault="00EB67D2">
      <w:pPr>
        <w:ind w:firstLine="640"/>
        <w:rPr>
          <w:rFonts w:ascii="仿宋_GB2312" w:eastAsia="仿宋_GB2312" w:hAnsi="仿宋_GB2312" w:cs="仿宋_GB2312"/>
          <w:sz w:val="32"/>
          <w:szCs w:val="32"/>
        </w:rPr>
      </w:pPr>
      <w:r>
        <w:rPr>
          <w:rFonts w:ascii="仿宋_GB2312" w:eastAsia="仿宋_GB2312" w:hAnsi="仿宋_GB2312" w:cs="仿宋_GB2312"/>
          <w:sz w:val="32"/>
          <w:szCs w:val="32"/>
        </w:rPr>
        <w:t>全会强调，要完整、准确、全面贯彻新发展理念，服务和融入新发展格局，牢牢把握高质量发展这个首要任务，以成渝地区双城经济圈建设为总牵引，深入实施</w:t>
      </w:r>
      <w:r>
        <w:rPr>
          <w:rFonts w:ascii="仿宋_GB2312" w:eastAsia="仿宋_GB2312" w:hAnsi="仿宋_GB2312" w:cs="仿宋_GB2312"/>
          <w:b/>
          <w:bCs/>
          <w:sz w:val="32"/>
          <w:szCs w:val="32"/>
        </w:rPr>
        <w:t>“</w:t>
      </w:r>
      <w:r>
        <w:rPr>
          <w:rFonts w:ascii="仿宋_GB2312" w:eastAsia="仿宋_GB2312" w:hAnsi="仿宋_GB2312" w:cs="仿宋_GB2312"/>
          <w:b/>
          <w:bCs/>
          <w:sz w:val="32"/>
          <w:szCs w:val="32"/>
        </w:rPr>
        <w:t>四化同步、城乡融合、五区共兴</w:t>
      </w:r>
      <w:r>
        <w:rPr>
          <w:rFonts w:ascii="仿宋_GB2312" w:eastAsia="仿宋_GB2312" w:hAnsi="仿宋_GB2312" w:cs="仿宋_GB2312"/>
          <w:b/>
          <w:bCs/>
          <w:sz w:val="32"/>
          <w:szCs w:val="32"/>
        </w:rPr>
        <w:t>”</w:t>
      </w:r>
      <w:r>
        <w:rPr>
          <w:rFonts w:ascii="仿宋_GB2312" w:eastAsia="仿宋_GB2312" w:hAnsi="仿宋_GB2312" w:cs="仿宋_GB2312"/>
          <w:sz w:val="32"/>
          <w:szCs w:val="32"/>
        </w:rPr>
        <w:t>发展战略，发挥新型工业化主导作用，推进产业智能化、绿色化、融合化发展，着力</w:t>
      </w:r>
      <w:r>
        <w:rPr>
          <w:rFonts w:ascii="仿宋_GB2312" w:eastAsia="仿宋_GB2312" w:hAnsi="仿宋_GB2312" w:cs="仿宋_GB2312"/>
          <w:sz w:val="32"/>
          <w:szCs w:val="32"/>
        </w:rPr>
        <w:t>“</w:t>
      </w:r>
      <w:r>
        <w:rPr>
          <w:rFonts w:ascii="仿宋_GB2312" w:eastAsia="仿宋_GB2312" w:hAnsi="仿宋_GB2312" w:cs="仿宋_GB2312"/>
          <w:b/>
          <w:bCs/>
          <w:sz w:val="32"/>
          <w:szCs w:val="32"/>
        </w:rPr>
        <w:t>扬优势、锻长板，促创新、增动能，建集群、强主体</w:t>
      </w:r>
      <w:r>
        <w:rPr>
          <w:rFonts w:ascii="仿宋_GB2312" w:eastAsia="仿宋_GB2312" w:hAnsi="仿宋_GB2312" w:cs="仿宋_GB2312"/>
          <w:b/>
          <w:bCs/>
          <w:sz w:val="32"/>
          <w:szCs w:val="32"/>
        </w:rPr>
        <w:t>”</w:t>
      </w:r>
      <w:r>
        <w:rPr>
          <w:rFonts w:ascii="仿宋_GB2312" w:eastAsia="仿宋_GB2312" w:hAnsi="仿宋_GB2312" w:cs="仿宋_GB2312"/>
          <w:sz w:val="32"/>
          <w:szCs w:val="32"/>
        </w:rPr>
        <w:t>，建设现代化的工业、农业、服务业和基础设施，构建以实体经济为支撑的现代化产业体系，加快向现代化经济强省全面</w:t>
      </w:r>
      <w:r>
        <w:rPr>
          <w:rFonts w:ascii="仿宋_GB2312" w:eastAsia="仿宋_GB2312" w:hAnsi="仿宋_GB2312" w:cs="仿宋_GB2312"/>
          <w:sz w:val="32"/>
          <w:szCs w:val="32"/>
        </w:rPr>
        <w:t>跃升。</w:t>
      </w:r>
    </w:p>
    <w:p w:rsidR="003440B0" w:rsidRDefault="00EB67D2">
      <w:pPr>
        <w:ind w:firstLine="640"/>
        <w:rPr>
          <w:rFonts w:ascii="仿宋_GB2312" w:eastAsia="仿宋_GB2312" w:hAnsi="仿宋_GB2312" w:cs="仿宋_GB2312"/>
          <w:b/>
          <w:bCs/>
          <w:sz w:val="32"/>
          <w:szCs w:val="32"/>
        </w:rPr>
      </w:pPr>
      <w:r>
        <w:rPr>
          <w:rFonts w:ascii="仿宋_GB2312" w:eastAsia="仿宋_GB2312" w:hAnsi="仿宋_GB2312" w:cs="仿宋_GB2312"/>
          <w:sz w:val="32"/>
          <w:szCs w:val="32"/>
        </w:rPr>
        <w:t>全会提出了加快建设现代化产业体系的发展目标：</w:t>
      </w:r>
      <w:r>
        <w:rPr>
          <w:rFonts w:ascii="仿宋_GB2312" w:eastAsia="仿宋_GB2312" w:hAnsi="仿宋_GB2312" w:cs="仿宋_GB2312"/>
          <w:b/>
          <w:bCs/>
          <w:sz w:val="32"/>
          <w:szCs w:val="32"/>
        </w:rPr>
        <w:t>到</w:t>
      </w:r>
      <w:r>
        <w:rPr>
          <w:rFonts w:ascii="仿宋_GB2312" w:eastAsia="仿宋_GB2312" w:hAnsi="仿宋_GB2312" w:cs="仿宋_GB2312"/>
          <w:b/>
          <w:bCs/>
          <w:sz w:val="32"/>
          <w:szCs w:val="32"/>
        </w:rPr>
        <w:t>2027</w:t>
      </w:r>
      <w:r>
        <w:rPr>
          <w:rFonts w:ascii="仿宋_GB2312" w:eastAsia="仿宋_GB2312" w:hAnsi="仿宋_GB2312" w:cs="仿宋_GB2312"/>
          <w:b/>
          <w:bCs/>
          <w:sz w:val="32"/>
          <w:szCs w:val="32"/>
        </w:rPr>
        <w:t>年，制造强省建设取得新成效</w:t>
      </w:r>
      <w:r>
        <w:rPr>
          <w:rFonts w:ascii="仿宋_GB2312" w:eastAsia="仿宋_GB2312" w:hAnsi="仿宋_GB2312" w:cs="仿宋_GB2312"/>
          <w:sz w:val="32"/>
          <w:szCs w:val="32"/>
        </w:rPr>
        <w:t>，制造业增加值占比明显提高，培育电子信息、装备制造、特色消费品等世界级产业集群成效明显；</w:t>
      </w:r>
      <w:r>
        <w:rPr>
          <w:rFonts w:ascii="仿宋_GB2312" w:eastAsia="仿宋_GB2312" w:hAnsi="仿宋_GB2312" w:cs="仿宋_GB2312"/>
          <w:b/>
          <w:bCs/>
          <w:sz w:val="32"/>
          <w:szCs w:val="32"/>
        </w:rPr>
        <w:t>创新发展取得新突破</w:t>
      </w:r>
      <w:r>
        <w:rPr>
          <w:rFonts w:ascii="仿宋_GB2312" w:eastAsia="仿宋_GB2312" w:hAnsi="仿宋_GB2312" w:cs="仿宋_GB2312"/>
          <w:sz w:val="32"/>
          <w:szCs w:val="32"/>
        </w:rPr>
        <w:t>，高新技术产业营业收入占规模以上工业比重超过</w:t>
      </w:r>
      <w:r>
        <w:rPr>
          <w:rFonts w:ascii="仿宋_GB2312" w:eastAsia="仿宋_GB2312" w:hAnsi="仿宋_GB2312" w:cs="仿宋_GB2312"/>
          <w:sz w:val="32"/>
          <w:szCs w:val="32"/>
        </w:rPr>
        <w:t>40%</w:t>
      </w:r>
      <w:r>
        <w:rPr>
          <w:rFonts w:ascii="仿宋_GB2312" w:eastAsia="仿宋_GB2312" w:hAnsi="仿宋_GB2312" w:cs="仿宋_GB2312"/>
          <w:sz w:val="32"/>
          <w:szCs w:val="32"/>
        </w:rPr>
        <w:t>；转型升级取得新进展，产业创新力、竞争力明显提升；</w:t>
      </w:r>
      <w:r>
        <w:rPr>
          <w:rFonts w:ascii="仿宋_GB2312" w:eastAsia="仿宋_GB2312" w:hAnsi="仿宋_GB2312" w:cs="仿宋_GB2312"/>
          <w:b/>
          <w:bCs/>
          <w:sz w:val="32"/>
          <w:szCs w:val="32"/>
        </w:rPr>
        <w:t>融合发展迈出新步伐</w:t>
      </w:r>
      <w:r>
        <w:rPr>
          <w:rFonts w:ascii="仿宋_GB2312" w:eastAsia="仿宋_GB2312" w:hAnsi="仿宋_GB2312" w:cs="仿宋_GB2312"/>
          <w:sz w:val="32"/>
          <w:szCs w:val="32"/>
        </w:rPr>
        <w:t>，现代服务业与先进制造业、现代农业融合程度明显提高。</w:t>
      </w:r>
      <w:r>
        <w:rPr>
          <w:rFonts w:ascii="仿宋_GB2312" w:eastAsia="仿宋_GB2312" w:hAnsi="仿宋_GB2312" w:cs="仿宋_GB2312"/>
          <w:b/>
          <w:bCs/>
          <w:sz w:val="32"/>
          <w:szCs w:val="32"/>
        </w:rPr>
        <w:t>到</w:t>
      </w:r>
      <w:r>
        <w:rPr>
          <w:rFonts w:ascii="仿宋_GB2312" w:eastAsia="仿宋_GB2312" w:hAnsi="仿宋_GB2312" w:cs="仿宋_GB2312"/>
          <w:b/>
          <w:bCs/>
          <w:sz w:val="32"/>
          <w:szCs w:val="32"/>
        </w:rPr>
        <w:t>2035</w:t>
      </w:r>
      <w:r>
        <w:rPr>
          <w:rFonts w:ascii="仿宋_GB2312" w:eastAsia="仿宋_GB2312" w:hAnsi="仿宋_GB2312" w:cs="仿宋_GB2312"/>
          <w:b/>
          <w:bCs/>
          <w:sz w:val="32"/>
          <w:szCs w:val="32"/>
        </w:rPr>
        <w:t>年，制造强省、农业强省、服务业</w:t>
      </w:r>
      <w:r>
        <w:rPr>
          <w:rFonts w:ascii="仿宋_GB2312" w:eastAsia="仿宋_GB2312" w:hAnsi="仿宋_GB2312" w:cs="仿宋_GB2312"/>
          <w:b/>
          <w:bCs/>
          <w:sz w:val="32"/>
          <w:szCs w:val="32"/>
        </w:rPr>
        <w:lastRenderedPageBreak/>
        <w:t>强省基本建成</w:t>
      </w:r>
      <w:r>
        <w:rPr>
          <w:rFonts w:ascii="仿宋_GB2312" w:eastAsia="仿宋_GB2312" w:hAnsi="仿宋_GB2312" w:cs="仿宋_GB2312"/>
          <w:sz w:val="32"/>
          <w:szCs w:val="32"/>
        </w:rPr>
        <w:t>，</w:t>
      </w:r>
      <w:r>
        <w:rPr>
          <w:rFonts w:ascii="仿宋_GB2312" w:eastAsia="仿宋_GB2312" w:hAnsi="仿宋_GB2312" w:cs="仿宋_GB2312"/>
          <w:b/>
          <w:bCs/>
          <w:sz w:val="32"/>
          <w:szCs w:val="32"/>
        </w:rPr>
        <w:t>三次产业发展能级和综合实力全面跃升，现代化产业体系总体形成，与全国同步基本实现新型工业化。</w:t>
      </w:r>
    </w:p>
    <w:p w:rsidR="003440B0" w:rsidRDefault="00EB67D2">
      <w:pPr>
        <w:ind w:firstLine="640"/>
        <w:rPr>
          <w:rFonts w:ascii="仿宋_GB2312" w:eastAsia="仿宋_GB2312" w:hAnsi="仿宋_GB2312" w:cs="仿宋_GB2312"/>
          <w:sz w:val="32"/>
          <w:szCs w:val="32"/>
        </w:rPr>
      </w:pPr>
      <w:r>
        <w:rPr>
          <w:rFonts w:ascii="仿宋_GB2312" w:eastAsia="仿宋_GB2312" w:hAnsi="仿宋_GB2312" w:cs="仿宋_GB2312"/>
          <w:sz w:val="32"/>
          <w:szCs w:val="32"/>
        </w:rPr>
        <w:t>全</w:t>
      </w:r>
      <w:r>
        <w:rPr>
          <w:rFonts w:ascii="仿宋_GB2312" w:eastAsia="仿宋_GB2312" w:hAnsi="仿宋_GB2312" w:cs="仿宋_GB2312"/>
          <w:sz w:val="32"/>
          <w:szCs w:val="32"/>
        </w:rPr>
        <w:t>会强调，</w:t>
      </w:r>
      <w:r>
        <w:rPr>
          <w:rFonts w:ascii="仿宋_GB2312" w:eastAsia="仿宋_GB2312" w:hAnsi="仿宋_GB2312" w:cs="仿宋_GB2312"/>
          <w:b/>
          <w:bCs/>
          <w:sz w:val="32"/>
          <w:szCs w:val="32"/>
        </w:rPr>
        <w:t>要坚定不移推进工业兴省制造强省。</w:t>
      </w:r>
      <w:r>
        <w:rPr>
          <w:rFonts w:ascii="仿宋_GB2312" w:eastAsia="仿宋_GB2312" w:hAnsi="仿宋_GB2312" w:cs="仿宋_GB2312"/>
          <w:sz w:val="32"/>
          <w:szCs w:val="32"/>
        </w:rPr>
        <w:t>实施优势产业提质倍增行动，一手抓传统产业转型升级、一手抓新兴产业培育壮大，打好产业基础高级化、产业链现代化攻坚战，培育形成电子信息、装备制造、食品轻纺、能源化工、先进材料、医药健康六大万亿级产业。突出抓好人工智能、生物技术、卫星网络、新能源与智能网联汽车、无人机等战略性新兴产业，推动未来产业加速孵化。加快产业数字化转型，推进产业绿色化发展。</w:t>
      </w:r>
    </w:p>
    <w:p w:rsidR="003440B0" w:rsidRDefault="00EB67D2">
      <w:pPr>
        <w:ind w:firstLine="640"/>
        <w:rPr>
          <w:rFonts w:ascii="仿宋_GB2312" w:eastAsia="仿宋_GB2312" w:hAnsi="仿宋_GB2312" w:cs="仿宋_GB2312"/>
          <w:sz w:val="32"/>
          <w:szCs w:val="32"/>
        </w:rPr>
      </w:pPr>
      <w:r>
        <w:rPr>
          <w:rFonts w:ascii="仿宋_GB2312" w:eastAsia="仿宋_GB2312" w:hAnsi="仿宋_GB2312" w:cs="仿宋_GB2312"/>
          <w:sz w:val="32"/>
          <w:szCs w:val="32"/>
        </w:rPr>
        <w:t>全会指出，</w:t>
      </w:r>
      <w:r>
        <w:rPr>
          <w:rFonts w:ascii="仿宋_GB2312" w:eastAsia="仿宋_GB2312" w:hAnsi="仿宋_GB2312" w:cs="仿宋_GB2312"/>
          <w:b/>
          <w:bCs/>
          <w:sz w:val="32"/>
          <w:szCs w:val="32"/>
        </w:rPr>
        <w:t>要推动三次产业高质量融合发展。</w:t>
      </w:r>
      <w:r>
        <w:rPr>
          <w:rFonts w:ascii="仿宋_GB2312" w:eastAsia="仿宋_GB2312" w:hAnsi="仿宋_GB2312" w:cs="仿宋_GB2312"/>
          <w:sz w:val="32"/>
          <w:szCs w:val="32"/>
        </w:rPr>
        <w:t>促进现代服务业同先进制造业深度融合，建设服务业高质量发展示范区，大力发展生产性服务业，培</w:t>
      </w:r>
      <w:r>
        <w:rPr>
          <w:rFonts w:ascii="仿宋_GB2312" w:eastAsia="仿宋_GB2312" w:hAnsi="仿宋_GB2312" w:cs="仿宋_GB2312"/>
          <w:sz w:val="32"/>
          <w:szCs w:val="32"/>
        </w:rPr>
        <w:t>育服务型制造，构建优质高效服务业新体系。建设西部金融中心，实施</w:t>
      </w:r>
      <w:r>
        <w:rPr>
          <w:rFonts w:ascii="仿宋_GB2312" w:eastAsia="仿宋_GB2312" w:hAnsi="仿宋_GB2312" w:cs="仿宋_GB2312"/>
          <w:sz w:val="32"/>
          <w:szCs w:val="32"/>
        </w:rPr>
        <w:t>“</w:t>
      </w:r>
      <w:r>
        <w:rPr>
          <w:rFonts w:ascii="仿宋_GB2312" w:eastAsia="仿宋_GB2312" w:hAnsi="仿宋_GB2312" w:cs="仿宋_GB2312"/>
          <w:sz w:val="32"/>
          <w:szCs w:val="32"/>
        </w:rPr>
        <w:t>三品一创</w:t>
      </w:r>
      <w:r>
        <w:rPr>
          <w:rFonts w:ascii="仿宋_GB2312" w:eastAsia="仿宋_GB2312" w:hAnsi="仿宋_GB2312" w:cs="仿宋_GB2312"/>
          <w:sz w:val="32"/>
          <w:szCs w:val="32"/>
        </w:rPr>
        <w:t>”</w:t>
      </w:r>
      <w:r>
        <w:rPr>
          <w:rFonts w:ascii="仿宋_GB2312" w:eastAsia="仿宋_GB2312" w:hAnsi="仿宋_GB2312" w:cs="仿宋_GB2312"/>
          <w:sz w:val="32"/>
          <w:szCs w:val="32"/>
        </w:rPr>
        <w:t>消费提质扩容工程、文化产业高质量发展行动计划，建设国际消费目的地和世界重要旅游目的地。推动农业产业全链条升级，全力打造新时代更高水平</w:t>
      </w:r>
      <w:r>
        <w:rPr>
          <w:rFonts w:ascii="仿宋_GB2312" w:eastAsia="仿宋_GB2312" w:hAnsi="仿宋_GB2312" w:cs="仿宋_GB2312"/>
          <w:sz w:val="32"/>
          <w:szCs w:val="32"/>
        </w:rPr>
        <w:t>“</w:t>
      </w:r>
      <w:r>
        <w:rPr>
          <w:rFonts w:ascii="仿宋_GB2312" w:eastAsia="仿宋_GB2312" w:hAnsi="仿宋_GB2312" w:cs="仿宋_GB2312"/>
          <w:sz w:val="32"/>
          <w:szCs w:val="32"/>
        </w:rPr>
        <w:t>天府粮仓</w:t>
      </w:r>
      <w:r>
        <w:rPr>
          <w:rFonts w:ascii="仿宋_GB2312" w:eastAsia="仿宋_GB2312" w:hAnsi="仿宋_GB2312" w:cs="仿宋_GB2312"/>
          <w:sz w:val="32"/>
          <w:szCs w:val="32"/>
        </w:rPr>
        <w:t>”</w:t>
      </w:r>
      <w:r>
        <w:rPr>
          <w:rFonts w:ascii="仿宋_GB2312" w:eastAsia="仿宋_GB2312" w:hAnsi="仿宋_GB2312" w:cs="仿宋_GB2312"/>
          <w:sz w:val="32"/>
          <w:szCs w:val="32"/>
        </w:rPr>
        <w:t>，实施农产品精深加工提升行动，做好</w:t>
      </w:r>
      <w:r>
        <w:rPr>
          <w:rFonts w:ascii="仿宋_GB2312" w:eastAsia="仿宋_GB2312" w:hAnsi="仿宋_GB2312" w:cs="仿宋_GB2312"/>
          <w:sz w:val="32"/>
          <w:szCs w:val="32"/>
        </w:rPr>
        <w:t>“</w:t>
      </w:r>
      <w:r>
        <w:rPr>
          <w:rFonts w:ascii="仿宋_GB2312" w:eastAsia="仿宋_GB2312" w:hAnsi="仿宋_GB2312" w:cs="仿宋_GB2312"/>
          <w:sz w:val="32"/>
          <w:szCs w:val="32"/>
        </w:rPr>
        <w:t>土特产</w:t>
      </w:r>
      <w:r>
        <w:rPr>
          <w:rFonts w:ascii="仿宋_GB2312" w:eastAsia="仿宋_GB2312" w:hAnsi="仿宋_GB2312" w:cs="仿宋_GB2312"/>
          <w:sz w:val="32"/>
          <w:szCs w:val="32"/>
        </w:rPr>
        <w:t>”</w:t>
      </w:r>
      <w:r>
        <w:rPr>
          <w:rFonts w:ascii="仿宋_GB2312" w:eastAsia="仿宋_GB2312" w:hAnsi="仿宋_GB2312" w:cs="仿宋_GB2312"/>
          <w:sz w:val="32"/>
          <w:szCs w:val="32"/>
        </w:rPr>
        <w:t>大文章，强化现代农业科技和装备支撑，不断提升农业现代化水平，推动乡村全面振兴。</w:t>
      </w:r>
    </w:p>
    <w:p w:rsidR="003440B0" w:rsidRDefault="00EB67D2">
      <w:pPr>
        <w:ind w:firstLine="640"/>
        <w:rPr>
          <w:rFonts w:ascii="仿宋_GB2312" w:eastAsia="仿宋_GB2312" w:hAnsi="仿宋_GB2312" w:cs="仿宋_GB2312"/>
          <w:sz w:val="32"/>
          <w:szCs w:val="32"/>
        </w:rPr>
      </w:pPr>
      <w:r>
        <w:rPr>
          <w:rFonts w:ascii="仿宋_GB2312" w:eastAsia="仿宋_GB2312" w:hAnsi="仿宋_GB2312" w:cs="仿宋_GB2312"/>
          <w:sz w:val="32"/>
          <w:szCs w:val="32"/>
        </w:rPr>
        <w:t>全会强调，</w:t>
      </w:r>
      <w:r>
        <w:rPr>
          <w:rFonts w:ascii="仿宋_GB2312" w:eastAsia="仿宋_GB2312" w:hAnsi="仿宋_GB2312" w:cs="仿宋_GB2312"/>
          <w:b/>
          <w:bCs/>
          <w:sz w:val="32"/>
          <w:szCs w:val="32"/>
        </w:rPr>
        <w:t>要把市场主体作为现代化产业体系建设的中坚力量，坚持培育和引进并重，支持市场主体做大做强。</w:t>
      </w:r>
      <w:r>
        <w:rPr>
          <w:rFonts w:ascii="仿宋_GB2312" w:eastAsia="仿宋_GB2312" w:hAnsi="仿宋_GB2312" w:cs="仿宋_GB2312"/>
          <w:sz w:val="32"/>
          <w:szCs w:val="32"/>
        </w:rPr>
        <w:t>深入实施制</w:t>
      </w:r>
      <w:r>
        <w:rPr>
          <w:rFonts w:ascii="仿宋_GB2312" w:eastAsia="仿宋_GB2312" w:hAnsi="仿宋_GB2312" w:cs="仿宋_GB2312"/>
          <w:sz w:val="32"/>
          <w:szCs w:val="32"/>
        </w:rPr>
        <w:lastRenderedPageBreak/>
        <w:t>造业企业</w:t>
      </w:r>
      <w:r>
        <w:rPr>
          <w:rFonts w:ascii="仿宋_GB2312" w:eastAsia="仿宋_GB2312" w:hAnsi="仿宋_GB2312" w:cs="仿宋_GB2312"/>
          <w:sz w:val="32"/>
          <w:szCs w:val="32"/>
        </w:rPr>
        <w:t>“</w:t>
      </w:r>
      <w:r>
        <w:rPr>
          <w:rFonts w:ascii="仿宋_GB2312" w:eastAsia="仿宋_GB2312" w:hAnsi="仿宋_GB2312" w:cs="仿宋_GB2312"/>
          <w:sz w:val="32"/>
          <w:szCs w:val="32"/>
        </w:rPr>
        <w:t>贡嘎培优</w:t>
      </w:r>
      <w:r>
        <w:rPr>
          <w:rFonts w:ascii="仿宋_GB2312" w:eastAsia="仿宋_GB2312" w:hAnsi="仿宋_GB2312" w:cs="仿宋_GB2312"/>
          <w:sz w:val="32"/>
          <w:szCs w:val="32"/>
        </w:rPr>
        <w:t>”</w:t>
      </w:r>
      <w:r>
        <w:rPr>
          <w:rFonts w:ascii="仿宋_GB2312" w:eastAsia="仿宋_GB2312" w:hAnsi="仿宋_GB2312" w:cs="仿宋_GB2312"/>
          <w:sz w:val="32"/>
          <w:szCs w:val="32"/>
        </w:rPr>
        <w:t>行动计划，打造集研发、制造、服务于一体的大</w:t>
      </w:r>
      <w:r>
        <w:rPr>
          <w:rFonts w:ascii="仿宋_GB2312" w:eastAsia="仿宋_GB2312" w:hAnsi="仿宋_GB2312" w:cs="仿宋_GB2312"/>
          <w:sz w:val="32"/>
          <w:szCs w:val="32"/>
        </w:rPr>
        <w:t>型企业集团和世界一流企业。坚决落实</w:t>
      </w:r>
      <w:r>
        <w:rPr>
          <w:rFonts w:ascii="仿宋_GB2312" w:eastAsia="仿宋_GB2312" w:hAnsi="仿宋_GB2312" w:cs="仿宋_GB2312"/>
          <w:sz w:val="32"/>
          <w:szCs w:val="32"/>
        </w:rPr>
        <w:t>“</w:t>
      </w:r>
      <w:r>
        <w:rPr>
          <w:rFonts w:ascii="仿宋_GB2312" w:eastAsia="仿宋_GB2312" w:hAnsi="仿宋_GB2312" w:cs="仿宋_GB2312"/>
          <w:sz w:val="32"/>
          <w:szCs w:val="32"/>
        </w:rPr>
        <w:t>两个毫不动摇</w:t>
      </w:r>
      <w:r>
        <w:rPr>
          <w:rFonts w:ascii="仿宋_GB2312" w:eastAsia="仿宋_GB2312" w:hAnsi="仿宋_GB2312" w:cs="仿宋_GB2312"/>
          <w:sz w:val="32"/>
          <w:szCs w:val="32"/>
        </w:rPr>
        <w:t>”</w:t>
      </w:r>
      <w:r>
        <w:rPr>
          <w:rFonts w:ascii="仿宋_GB2312" w:eastAsia="仿宋_GB2312" w:hAnsi="仿宋_GB2312" w:cs="仿宋_GB2312"/>
          <w:sz w:val="32"/>
          <w:szCs w:val="32"/>
        </w:rPr>
        <w:t>，持续优化国企敢干、民企敢闯、外企敢投的制度环境，高质量建设现代产业园区，推动各类市场主体蓬勃发展、竞相成长。</w:t>
      </w:r>
    </w:p>
    <w:p w:rsidR="003440B0" w:rsidRDefault="00EB67D2">
      <w:pPr>
        <w:ind w:firstLine="640"/>
        <w:rPr>
          <w:rFonts w:ascii="仿宋_GB2312" w:eastAsia="仿宋_GB2312" w:hAnsi="仿宋_GB2312" w:cs="仿宋_GB2312"/>
          <w:sz w:val="32"/>
          <w:szCs w:val="32"/>
        </w:rPr>
      </w:pPr>
      <w:r>
        <w:rPr>
          <w:rFonts w:ascii="仿宋_GB2312" w:eastAsia="仿宋_GB2312" w:hAnsi="仿宋_GB2312" w:cs="仿宋_GB2312"/>
          <w:sz w:val="32"/>
          <w:szCs w:val="32"/>
        </w:rPr>
        <w:t>全会指出，</w:t>
      </w:r>
      <w:r>
        <w:rPr>
          <w:rFonts w:ascii="仿宋_GB2312" w:eastAsia="仿宋_GB2312" w:hAnsi="仿宋_GB2312" w:cs="仿宋_GB2312"/>
          <w:b/>
          <w:bCs/>
          <w:sz w:val="32"/>
          <w:szCs w:val="32"/>
        </w:rPr>
        <w:t>要纵深推进创新驱动引领产业发展。</w:t>
      </w:r>
      <w:r>
        <w:rPr>
          <w:rFonts w:ascii="仿宋_GB2312" w:eastAsia="仿宋_GB2312" w:hAnsi="仿宋_GB2312" w:cs="仿宋_GB2312"/>
          <w:sz w:val="32"/>
          <w:szCs w:val="32"/>
        </w:rPr>
        <w:t>布局实施一批重大科技专项，建设高能级创新平台，强化企业科技创新主体地位，支持高校、科研院所与地方政府、企业共建高水平创新联合体，构建市场化服务体系和利益联合协同机制，促进科技成果加快转化应用。强化教育人才基础支撑，构建现代职业教育和技能培训体系，实施强链补链人才支撑行动，建设具有全国影响力的创新人才集聚高地</w:t>
      </w:r>
      <w:r>
        <w:rPr>
          <w:rFonts w:ascii="仿宋_GB2312" w:eastAsia="仿宋_GB2312" w:hAnsi="仿宋_GB2312" w:cs="仿宋_GB2312"/>
          <w:sz w:val="32"/>
          <w:szCs w:val="32"/>
        </w:rPr>
        <w:t>。</w:t>
      </w:r>
    </w:p>
    <w:p w:rsidR="003440B0" w:rsidRDefault="00EB67D2">
      <w:pPr>
        <w:ind w:firstLine="640"/>
        <w:rPr>
          <w:rFonts w:ascii="仿宋_GB2312" w:eastAsia="仿宋_GB2312" w:hAnsi="仿宋_GB2312" w:cs="仿宋_GB2312"/>
          <w:sz w:val="32"/>
          <w:szCs w:val="32"/>
        </w:rPr>
      </w:pPr>
      <w:r>
        <w:rPr>
          <w:rFonts w:ascii="仿宋_GB2312" w:eastAsia="仿宋_GB2312" w:hAnsi="仿宋_GB2312" w:cs="仿宋_GB2312"/>
          <w:sz w:val="32"/>
          <w:szCs w:val="32"/>
        </w:rPr>
        <w:t>全会要求，要完善产业发展支持政策，加强产业发展组织领导。强化布局引领，形成大产业、细分工的产业发展新格局；</w:t>
      </w:r>
      <w:r>
        <w:rPr>
          <w:rFonts w:ascii="仿宋_GB2312" w:eastAsia="仿宋_GB2312" w:hAnsi="仿宋_GB2312" w:cs="仿宋_GB2312"/>
          <w:b/>
          <w:bCs/>
          <w:sz w:val="32"/>
          <w:szCs w:val="32"/>
        </w:rPr>
        <w:t>强化财政投入，围绕六大优势产业整合财政资金，聚焦关键领域加大支持力度</w:t>
      </w:r>
      <w:r>
        <w:rPr>
          <w:rFonts w:ascii="仿宋_GB2312" w:eastAsia="仿宋_GB2312" w:hAnsi="仿宋_GB2312" w:cs="仿宋_GB2312"/>
          <w:sz w:val="32"/>
          <w:szCs w:val="32"/>
        </w:rPr>
        <w:t>；</w:t>
      </w:r>
      <w:r>
        <w:rPr>
          <w:rFonts w:ascii="仿宋_GB2312" w:eastAsia="仿宋_GB2312" w:hAnsi="仿宋_GB2312" w:cs="仿宋_GB2312"/>
          <w:b/>
          <w:bCs/>
          <w:sz w:val="32"/>
          <w:szCs w:val="32"/>
        </w:rPr>
        <w:t>强化金融支持，完善财政金融互动政策，引导金融机构创新直达实体经济的产品和服务；</w:t>
      </w:r>
      <w:r>
        <w:rPr>
          <w:rFonts w:ascii="仿宋_GB2312" w:eastAsia="仿宋_GB2312" w:hAnsi="仿宋_GB2312" w:cs="仿宋_GB2312"/>
          <w:sz w:val="32"/>
          <w:szCs w:val="32"/>
        </w:rPr>
        <w:t>强化用地和用能保障，增强产业发展支撑能力。加强党的全面领导，建立定期分析研判和专题研究制度，加强重点产业区域布局的省级统筹，避免同质化无序竞争和低水平重复建设。鲜明正确用人导向，加强纪律作风建设，加强宣传引导，营造大抓产业、大兴产业浓厚氛围。</w:t>
      </w:r>
    </w:p>
    <w:p w:rsidR="003440B0" w:rsidRDefault="003440B0">
      <w:pPr>
        <w:rPr>
          <w:rFonts w:ascii="仿宋_GB2312" w:eastAsia="仿宋_GB2312" w:hAnsi="仿宋_GB2312" w:cs="仿宋_GB2312"/>
          <w:sz w:val="32"/>
          <w:szCs w:val="32"/>
        </w:rPr>
      </w:pPr>
    </w:p>
    <w:p w:rsidR="003440B0" w:rsidRDefault="00EB67D2">
      <w:pPr>
        <w:numPr>
          <w:ilvl w:val="0"/>
          <w:numId w:val="5"/>
        </w:num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四川省财政厅：着力构建与乡村振兴相适应的财政政策体系</w:t>
      </w:r>
    </w:p>
    <w:p w:rsidR="003440B0" w:rsidRDefault="00EB67D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川财政坚决贯彻习近平总书记关于“三农”工作重要论述和重要指示批示精神，认真落实党中央、国务院和省委、省政府关于全面推进乡村振兴战略部署，强化顶层设计、加大统筹力度、创新支持方式，着力构建与乡村振兴相适应的财政政策体系。</w:t>
      </w:r>
    </w:p>
    <w:p w:rsidR="003440B0" w:rsidRDefault="00EB67D2">
      <w:pPr>
        <w:ind w:firstLine="640"/>
        <w:rPr>
          <w:rFonts w:ascii="仿宋_GB2312" w:eastAsia="仿宋_GB2312" w:hAnsi="仿宋_GB2312" w:cs="仿宋_GB2312"/>
          <w:sz w:val="32"/>
          <w:szCs w:val="32"/>
        </w:rPr>
      </w:pPr>
      <w:r>
        <w:rPr>
          <w:rFonts w:ascii="仿宋_GB2312" w:eastAsia="仿宋_GB2312" w:hAnsi="仿宋_GB2312" w:cs="仿宋_GB2312"/>
          <w:b/>
          <w:bCs/>
          <w:sz w:val="32"/>
          <w:szCs w:val="32"/>
        </w:rPr>
        <w:t>印发《财政推进实施乡村振兴战略</w:t>
      </w:r>
      <w:r>
        <w:rPr>
          <w:rFonts w:ascii="仿宋_GB2312" w:eastAsia="仿宋_GB2312" w:hAnsi="仿宋_GB2312" w:cs="仿宋_GB2312"/>
          <w:b/>
          <w:bCs/>
          <w:sz w:val="32"/>
          <w:szCs w:val="32"/>
        </w:rPr>
        <w:t>“3456”</w:t>
      </w:r>
      <w:r>
        <w:rPr>
          <w:rFonts w:ascii="仿宋_GB2312" w:eastAsia="仿宋_GB2312" w:hAnsi="仿宋_GB2312" w:cs="仿宋_GB2312"/>
          <w:b/>
          <w:bCs/>
          <w:sz w:val="32"/>
          <w:szCs w:val="32"/>
        </w:rPr>
        <w:t>政策举措》《四川省财政厅关于做好</w:t>
      </w:r>
      <w:r>
        <w:rPr>
          <w:rFonts w:ascii="仿宋_GB2312" w:eastAsia="仿宋_GB2312" w:hAnsi="仿宋_GB2312" w:cs="仿宋_GB2312"/>
          <w:b/>
          <w:bCs/>
          <w:sz w:val="32"/>
          <w:szCs w:val="32"/>
        </w:rPr>
        <w:t>“</w:t>
      </w:r>
      <w:r>
        <w:rPr>
          <w:rFonts w:ascii="仿宋_GB2312" w:eastAsia="仿宋_GB2312" w:hAnsi="仿宋_GB2312" w:cs="仿宋_GB2312"/>
          <w:b/>
          <w:bCs/>
          <w:sz w:val="32"/>
          <w:szCs w:val="32"/>
        </w:rPr>
        <w:t>十四五</w:t>
      </w:r>
      <w:r>
        <w:rPr>
          <w:rFonts w:ascii="仿宋_GB2312" w:eastAsia="仿宋_GB2312" w:hAnsi="仿宋_GB2312" w:cs="仿宋_GB2312"/>
          <w:b/>
          <w:bCs/>
          <w:sz w:val="32"/>
          <w:szCs w:val="32"/>
        </w:rPr>
        <w:t>”</w:t>
      </w:r>
      <w:r>
        <w:rPr>
          <w:rFonts w:ascii="仿宋_GB2312" w:eastAsia="仿宋_GB2312" w:hAnsi="仿宋_GB2312" w:cs="仿宋_GB2312"/>
          <w:b/>
          <w:bCs/>
          <w:sz w:val="32"/>
          <w:szCs w:val="32"/>
        </w:rPr>
        <w:t>时期农业财政工作的指导意见》，明确整体思路、推进举措。</w:t>
      </w:r>
      <w:r>
        <w:rPr>
          <w:rFonts w:ascii="仿宋_GB2312" w:eastAsia="仿宋_GB2312" w:hAnsi="仿宋_GB2312" w:cs="仿宋_GB2312"/>
          <w:sz w:val="32"/>
          <w:szCs w:val="32"/>
        </w:rPr>
        <w:t>率先在全国建立统一的乡村振兴财政投入口径，明确财政投入乡村振兴可量化指标。实行专户管理，在</w:t>
      </w:r>
      <w:r>
        <w:rPr>
          <w:rFonts w:ascii="仿宋_GB2312" w:eastAsia="仿宋_GB2312" w:hAnsi="仿宋_GB2312" w:cs="仿宋_GB2312"/>
          <w:sz w:val="32"/>
          <w:szCs w:val="32"/>
        </w:rPr>
        <w:t>21</w:t>
      </w:r>
      <w:r>
        <w:rPr>
          <w:rFonts w:ascii="仿宋_GB2312" w:eastAsia="仿宋_GB2312" w:hAnsi="仿宋_GB2312" w:cs="仿宋_GB2312"/>
          <w:sz w:val="32"/>
          <w:szCs w:val="32"/>
        </w:rPr>
        <w:t>个市（州）、</w:t>
      </w:r>
      <w:r>
        <w:rPr>
          <w:rFonts w:ascii="仿宋_GB2312" w:eastAsia="仿宋_GB2312" w:hAnsi="仿宋_GB2312" w:cs="仿宋_GB2312"/>
          <w:sz w:val="32"/>
          <w:szCs w:val="32"/>
        </w:rPr>
        <w:t>176</w:t>
      </w:r>
      <w:r>
        <w:rPr>
          <w:rFonts w:ascii="仿宋_GB2312" w:eastAsia="仿宋_GB2312" w:hAnsi="仿宋_GB2312" w:cs="仿宋_GB2312"/>
          <w:sz w:val="32"/>
          <w:szCs w:val="32"/>
        </w:rPr>
        <w:t>个涉农县（市、区）同级财政设立乡村振兴专户，实行专项库款保障。</w:t>
      </w:r>
    </w:p>
    <w:p w:rsidR="003440B0" w:rsidRDefault="003440B0">
      <w:pPr>
        <w:ind w:firstLineChars="200" w:firstLine="643"/>
        <w:rPr>
          <w:rFonts w:ascii="仿宋_GB2312" w:eastAsia="仿宋_GB2312" w:hAnsi="仿宋_GB2312" w:cs="仿宋_GB2312"/>
          <w:b/>
          <w:bCs/>
          <w:sz w:val="32"/>
          <w:szCs w:val="32"/>
        </w:rPr>
      </w:pPr>
    </w:p>
    <w:p w:rsidR="003440B0" w:rsidRDefault="00EB67D2">
      <w:pPr>
        <w:numPr>
          <w:ilvl w:val="0"/>
          <w:numId w:val="1"/>
        </w:num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四川省科技厅召开</w:t>
      </w:r>
      <w:r>
        <w:rPr>
          <w:rFonts w:ascii="仿宋_GB2312" w:eastAsia="仿宋_GB2312" w:hAnsi="仿宋_GB2312" w:cs="仿宋_GB2312" w:hint="eastAsia"/>
          <w:b/>
          <w:bCs/>
          <w:sz w:val="32"/>
          <w:szCs w:val="32"/>
        </w:rPr>
        <w:t>2023</w:t>
      </w:r>
      <w:r>
        <w:rPr>
          <w:rFonts w:ascii="仿宋_GB2312" w:eastAsia="仿宋_GB2312" w:hAnsi="仿宋_GB2312" w:cs="仿宋_GB2312" w:hint="eastAsia"/>
          <w:b/>
          <w:bCs/>
          <w:sz w:val="32"/>
          <w:szCs w:val="32"/>
        </w:rPr>
        <w:t>年全省科技金融工作联席会议</w:t>
      </w:r>
    </w:p>
    <w:p w:rsidR="003440B0" w:rsidRDefault="00EB67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会议强调，</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年科技金融工作要把握形势、开拓创新，聚力服务国家科技自立自强、服务四川高质量发展，形成更强工作合力，切实做好五方面重点任务。</w:t>
      </w:r>
      <w:r>
        <w:rPr>
          <w:rFonts w:ascii="仿宋_GB2312" w:eastAsia="仿宋_GB2312" w:hAnsi="仿宋_GB2312" w:cs="仿宋_GB2312" w:hint="eastAsia"/>
          <w:b/>
          <w:bCs/>
          <w:sz w:val="32"/>
          <w:szCs w:val="32"/>
        </w:rPr>
        <w:t>一是推动“天府科创贷”提质增效，进一步优化“天府科创贷”政策，提供更加优惠、更加贴合企业需求的产品</w:t>
      </w:r>
      <w:r>
        <w:rPr>
          <w:rFonts w:ascii="仿宋_GB2312" w:eastAsia="仿宋_GB2312" w:hAnsi="仿宋_GB2312" w:cs="仿宋_GB2312" w:hint="eastAsia"/>
          <w:sz w:val="32"/>
          <w:szCs w:val="32"/>
        </w:rPr>
        <w:t>。二是推进科技成果评价改革综合试点任务，结</w:t>
      </w:r>
      <w:r>
        <w:rPr>
          <w:rFonts w:ascii="仿宋_GB2312" w:eastAsia="仿宋_GB2312" w:hAnsi="仿宋_GB2312" w:cs="仿宋_GB2312" w:hint="eastAsia"/>
          <w:sz w:val="32"/>
          <w:szCs w:val="32"/>
        </w:rPr>
        <w:t>合科技型企业轻资产、高成长性特点，积极探索构建科技型企</w:t>
      </w:r>
      <w:r>
        <w:rPr>
          <w:rFonts w:ascii="仿宋_GB2312" w:eastAsia="仿宋_GB2312" w:hAnsi="仿宋_GB2312" w:cs="仿宋_GB2312" w:hint="eastAsia"/>
          <w:sz w:val="32"/>
          <w:szCs w:val="32"/>
        </w:rPr>
        <w:lastRenderedPageBreak/>
        <w:t>业银行专属评价体系。</w:t>
      </w:r>
      <w:r>
        <w:rPr>
          <w:rFonts w:ascii="仿宋_GB2312" w:eastAsia="仿宋_GB2312" w:hAnsi="仿宋_GB2312" w:cs="仿宋_GB2312" w:hint="eastAsia"/>
          <w:b/>
          <w:bCs/>
          <w:sz w:val="32"/>
          <w:szCs w:val="32"/>
        </w:rPr>
        <w:t>三是抓实国家科技金融试点示范，支持成都、绵阳在科技金融领域先行先试，联合申建国家级科创金融改革试验区</w:t>
      </w:r>
      <w:r>
        <w:rPr>
          <w:rFonts w:ascii="仿宋_GB2312" w:eastAsia="仿宋_GB2312" w:hAnsi="仿宋_GB2312" w:cs="仿宋_GB2312" w:hint="eastAsia"/>
          <w:sz w:val="32"/>
          <w:szCs w:val="32"/>
        </w:rPr>
        <w:t>。四是围绕成渝地区双城经济圈建设，稳步推动川渝科技金融协同创新共同体建设。五是推动科技金融工作守正创新，真正破解科技创新和金融创新难题，开启科技金融工作新局面。</w:t>
      </w:r>
    </w:p>
    <w:p w:rsidR="003440B0" w:rsidRDefault="00EB67D2">
      <w:pPr>
        <w:rPr>
          <w:rFonts w:ascii="仿宋_GB2312" w:eastAsia="仿宋_GB2312" w:hAnsi="仿宋_GB2312" w:cs="仿宋_GB2312"/>
          <w:sz w:val="32"/>
          <w:szCs w:val="32"/>
        </w:rPr>
      </w:pPr>
      <w:r>
        <w:rPr>
          <w:rFonts w:ascii="仿宋_GB2312" w:eastAsia="仿宋_GB2312" w:hAnsi="仿宋_GB2312" w:cs="仿宋_GB2312" w:hint="eastAsia"/>
          <w:sz w:val="32"/>
          <w:szCs w:val="32"/>
        </w:rPr>
        <w:t>会议审议通过《关于促进科技金融“投—贷—服”融合发展的实施意见》《</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年四川省科技金融工作要点》。</w:t>
      </w: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p w:rsidR="003440B0" w:rsidRDefault="003440B0">
      <w:pPr>
        <w:rPr>
          <w:rFonts w:ascii="仿宋_GB2312" w:eastAsia="仿宋_GB2312" w:hAnsi="仿宋_GB2312" w:cs="仿宋_GB2312"/>
          <w:sz w:val="32"/>
          <w:szCs w:val="32"/>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9"/>
      </w:tblGrid>
      <w:tr w:rsidR="003440B0">
        <w:tc>
          <w:tcPr>
            <w:tcW w:w="8849" w:type="dxa"/>
            <w:tcBorders>
              <w:left w:val="nil"/>
              <w:bottom w:val="single" w:sz="8" w:space="0" w:color="auto"/>
              <w:right w:val="nil"/>
            </w:tcBorders>
          </w:tcPr>
          <w:p w:rsidR="003440B0" w:rsidRDefault="00EB67D2">
            <w:pPr>
              <w:spacing w:line="460" w:lineRule="exact"/>
              <w:rPr>
                <w:rFonts w:ascii="仿宋_GB2312" w:eastAsia="仿宋_GB2312" w:hAnsi="仿宋_GB2312" w:cs="仿宋_GB2312"/>
                <w:sz w:val="28"/>
                <w:szCs w:val="28"/>
              </w:rPr>
            </w:pPr>
            <w:r>
              <w:rPr>
                <w:rFonts w:ascii="仿宋" w:eastAsia="仿宋" w:hAnsi="仿宋" w:cs="仿宋" w:hint="eastAsia"/>
                <w:sz w:val="28"/>
                <w:szCs w:val="28"/>
              </w:rPr>
              <w:t>送</w:t>
            </w:r>
            <w:r>
              <w:rPr>
                <w:rFonts w:ascii="仿宋" w:eastAsia="仿宋" w:hAnsi="仿宋" w:cs="仿宋" w:hint="eastAsia"/>
                <w:sz w:val="28"/>
                <w:szCs w:val="28"/>
              </w:rPr>
              <w:t>：公司领导、各部门。</w:t>
            </w:r>
          </w:p>
        </w:tc>
      </w:tr>
    </w:tbl>
    <w:p w:rsidR="003440B0" w:rsidRDefault="003440B0"/>
    <w:sectPr w:rsidR="003440B0">
      <w:footerReference w:type="default" r:id="rId8"/>
      <w:pgSz w:w="11906" w:h="16838"/>
      <w:pgMar w:top="2098" w:right="1474" w:bottom="1984" w:left="1587" w:header="851" w:footer="1361"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7D2" w:rsidRDefault="00EB67D2">
      <w:r>
        <w:separator/>
      </w:r>
    </w:p>
  </w:endnote>
  <w:endnote w:type="continuationSeparator" w:id="0">
    <w:p w:rsidR="00EB67D2" w:rsidRDefault="00EB6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公文小标宋">
    <w:charset w:val="86"/>
    <w:family w:val="auto"/>
    <w:pitch w:val="default"/>
    <w:sig w:usb0="A00002BF" w:usb1="38CF7CFA" w:usb2="00000016" w:usb3="00000000" w:csb0="00040001" w:csb1="00000000"/>
    <w:embedRegular r:id="rId1" w:subsetted="1" w:fontKey="{1A8DD985-7515-4416-A74A-9E9AC33D110E}"/>
  </w:font>
  <w:font w:name="仿宋_GB2312">
    <w:panose1 w:val="02010609030101010101"/>
    <w:charset w:val="86"/>
    <w:family w:val="modern"/>
    <w:pitch w:val="fixed"/>
    <w:sig w:usb0="00000001" w:usb1="080E0000" w:usb2="00000010" w:usb3="00000000" w:csb0="00040000" w:csb1="00000000"/>
    <w:embedRegular r:id="rId2" w:subsetted="1" w:fontKey="{33CC46ED-CED6-4D47-8A53-1260C3C068D8}"/>
    <w:embedBold r:id="rId3" w:subsetted="1" w:fontKey="{48D2E171-789B-4286-B72E-9553117F8037}"/>
  </w:font>
  <w:font w:name="仿宋">
    <w:panose1 w:val="02010609060101010101"/>
    <w:charset w:val="86"/>
    <w:family w:val="modern"/>
    <w:pitch w:val="fixed"/>
    <w:sig w:usb0="800002BF" w:usb1="38CF7CFA" w:usb2="00000016" w:usb3="00000000" w:csb0="00040001" w:csb1="00000000"/>
    <w:embedRegular r:id="rId4" w:subsetted="1" w:fontKey="{72A51FA9-872E-435A-9B31-2A4A8F162D08}"/>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5" w:subsetted="1" w:fontKey="{7B04E801-BF7D-48F6-BB89-52FE4B50F799}"/>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0B0" w:rsidRDefault="00EB67D2">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440B0" w:rsidRDefault="00EB67D2">
                          <w:pPr>
                            <w:pStyle w:val="a3"/>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B05FF">
                            <w:rPr>
                              <w:rFonts w:ascii="宋体" w:hAnsi="宋体" w:cs="宋体"/>
                              <w:noProof/>
                              <w:sz w:val="28"/>
                              <w:szCs w:val="28"/>
                            </w:rPr>
                            <w:t>- 1 -</w:t>
                          </w:r>
                          <w:r>
                            <w:rPr>
                              <w:rFonts w:ascii="宋体" w:hAnsi="宋体" w:cs="宋体" w:hint="eastAsia"/>
                              <w:sz w:val="28"/>
                              <w:szCs w:val="2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iRoug7kBAABZAwAADgAAAAAAAAAAAAAAAAAuAgAAZHJzL2Uyb0RvYy54&#10;bWxQSwECLQAUAAYACAAAACEADErw7tYAAAAFAQAADwAAAAAAAAAAAAAAAAATBAAAZHJzL2Rvd25y&#10;ZXYueG1sUEsFBgAAAAAEAAQA8wAAABYFAAAAAA==&#10;" filled="f" stroked="f">
              <v:textbox style="mso-fit-shape-to-text:t" inset="0,0,0,0">
                <w:txbxContent>
                  <w:p w:rsidR="003440B0" w:rsidRDefault="00EB67D2">
                    <w:pPr>
                      <w:pStyle w:val="a3"/>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B05FF">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7D2" w:rsidRDefault="00EB67D2">
      <w:r>
        <w:separator/>
      </w:r>
    </w:p>
  </w:footnote>
  <w:footnote w:type="continuationSeparator" w:id="0">
    <w:p w:rsidR="00EB67D2" w:rsidRDefault="00EB6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5F0378"/>
    <w:multiLevelType w:val="singleLevel"/>
    <w:tmpl w:val="9B5F0378"/>
    <w:lvl w:ilvl="0">
      <w:start w:val="1"/>
      <w:numFmt w:val="bullet"/>
      <w:lvlText w:val=""/>
      <w:lvlJc w:val="left"/>
      <w:pPr>
        <w:ind w:left="420" w:hanging="420"/>
      </w:pPr>
      <w:rPr>
        <w:rFonts w:ascii="Wingdings" w:hAnsi="Wingdings" w:hint="default"/>
      </w:rPr>
    </w:lvl>
  </w:abstractNum>
  <w:abstractNum w:abstractNumId="1" w15:restartNumberingAfterBreak="0">
    <w:nsid w:val="BEF84D91"/>
    <w:multiLevelType w:val="multilevel"/>
    <w:tmpl w:val="BEF84D91"/>
    <w:lvl w:ilvl="0">
      <w:start w:val="1"/>
      <w:numFmt w:val="bullet"/>
      <w:lvlText w:val=""/>
      <w:lvlJc w:val="left"/>
      <w:pPr>
        <w:tabs>
          <w:tab w:val="left" w:pos="0"/>
        </w:tabs>
        <w:ind w:left="420" w:hanging="420"/>
      </w:pPr>
      <w:rPr>
        <w:rFonts w:ascii="Wingdings" w:hAnsi="Wingdings" w:hint="default"/>
      </w:rPr>
    </w:lvl>
    <w:lvl w:ilvl="1">
      <w:start w:val="1"/>
      <w:numFmt w:val="bullet"/>
      <w:lvlText w:val=""/>
      <w:lvlJc w:val="left"/>
      <w:pPr>
        <w:tabs>
          <w:tab w:val="left" w:pos="0"/>
        </w:tabs>
        <w:ind w:left="840" w:hanging="420"/>
      </w:pPr>
      <w:rPr>
        <w:rFonts w:ascii="Wingdings" w:hAnsi="Wingdings" w:hint="default"/>
      </w:rPr>
    </w:lvl>
    <w:lvl w:ilvl="2">
      <w:start w:val="1"/>
      <w:numFmt w:val="bullet"/>
      <w:lvlText w:val=""/>
      <w:lvlJc w:val="left"/>
      <w:pPr>
        <w:tabs>
          <w:tab w:val="left" w:pos="0"/>
        </w:tabs>
        <w:ind w:left="1260" w:hanging="420"/>
      </w:pPr>
      <w:rPr>
        <w:rFonts w:ascii="Wingdings" w:hAnsi="Wingdings" w:hint="default"/>
      </w:rPr>
    </w:lvl>
    <w:lvl w:ilvl="3">
      <w:start w:val="1"/>
      <w:numFmt w:val="bullet"/>
      <w:lvlText w:val=""/>
      <w:lvlJc w:val="left"/>
      <w:pPr>
        <w:tabs>
          <w:tab w:val="left" w:pos="0"/>
        </w:tabs>
        <w:ind w:left="1680" w:hanging="420"/>
      </w:pPr>
      <w:rPr>
        <w:rFonts w:ascii="Wingdings" w:hAnsi="Wingdings" w:hint="default"/>
      </w:rPr>
    </w:lvl>
    <w:lvl w:ilvl="4">
      <w:start w:val="1"/>
      <w:numFmt w:val="bullet"/>
      <w:lvlText w:val=""/>
      <w:lvlJc w:val="left"/>
      <w:pPr>
        <w:tabs>
          <w:tab w:val="left" w:pos="0"/>
        </w:tabs>
        <w:ind w:left="2100" w:hanging="420"/>
      </w:pPr>
      <w:rPr>
        <w:rFonts w:ascii="Wingdings" w:hAnsi="Wingdings" w:hint="default"/>
      </w:rPr>
    </w:lvl>
    <w:lvl w:ilvl="5">
      <w:start w:val="1"/>
      <w:numFmt w:val="bullet"/>
      <w:lvlText w:val=""/>
      <w:lvlJc w:val="left"/>
      <w:pPr>
        <w:tabs>
          <w:tab w:val="left" w:pos="0"/>
        </w:tabs>
        <w:ind w:left="2520" w:hanging="420"/>
      </w:pPr>
      <w:rPr>
        <w:rFonts w:ascii="Wingdings" w:hAnsi="Wingdings" w:hint="default"/>
      </w:rPr>
    </w:lvl>
    <w:lvl w:ilvl="6">
      <w:start w:val="1"/>
      <w:numFmt w:val="bullet"/>
      <w:lvlText w:val=""/>
      <w:lvlJc w:val="left"/>
      <w:pPr>
        <w:tabs>
          <w:tab w:val="left" w:pos="0"/>
        </w:tabs>
        <w:ind w:left="2940" w:hanging="420"/>
      </w:pPr>
      <w:rPr>
        <w:rFonts w:ascii="Wingdings" w:hAnsi="Wingdings" w:hint="default"/>
      </w:rPr>
    </w:lvl>
    <w:lvl w:ilvl="7">
      <w:start w:val="1"/>
      <w:numFmt w:val="bullet"/>
      <w:lvlText w:val=""/>
      <w:lvlJc w:val="left"/>
      <w:pPr>
        <w:tabs>
          <w:tab w:val="left" w:pos="0"/>
        </w:tabs>
        <w:ind w:left="3360" w:hanging="420"/>
      </w:pPr>
      <w:rPr>
        <w:rFonts w:ascii="Wingdings" w:hAnsi="Wingdings" w:hint="default"/>
      </w:rPr>
    </w:lvl>
    <w:lvl w:ilvl="8">
      <w:start w:val="1"/>
      <w:numFmt w:val="bullet"/>
      <w:lvlText w:val=""/>
      <w:lvlJc w:val="left"/>
      <w:pPr>
        <w:tabs>
          <w:tab w:val="left" w:pos="0"/>
        </w:tabs>
        <w:ind w:left="3780" w:hanging="420"/>
      </w:pPr>
      <w:rPr>
        <w:rFonts w:ascii="Wingdings" w:hAnsi="Wingdings" w:hint="default"/>
      </w:rPr>
    </w:lvl>
  </w:abstractNum>
  <w:abstractNum w:abstractNumId="2" w15:restartNumberingAfterBreak="0">
    <w:nsid w:val="D4C3641A"/>
    <w:multiLevelType w:val="singleLevel"/>
    <w:tmpl w:val="D4C3641A"/>
    <w:lvl w:ilvl="0">
      <w:start w:val="1"/>
      <w:numFmt w:val="bullet"/>
      <w:lvlText w:val=""/>
      <w:lvlJc w:val="left"/>
      <w:pPr>
        <w:ind w:left="420" w:hanging="420"/>
      </w:pPr>
      <w:rPr>
        <w:rFonts w:ascii="Wingdings" w:hAnsi="Wingdings" w:hint="default"/>
      </w:rPr>
    </w:lvl>
  </w:abstractNum>
  <w:abstractNum w:abstractNumId="3" w15:restartNumberingAfterBreak="0">
    <w:nsid w:val="163B08CE"/>
    <w:multiLevelType w:val="singleLevel"/>
    <w:tmpl w:val="163B08CE"/>
    <w:lvl w:ilvl="0">
      <w:start w:val="1"/>
      <w:numFmt w:val="bullet"/>
      <w:lvlText w:val=""/>
      <w:lvlJc w:val="left"/>
      <w:pPr>
        <w:ind w:left="420" w:hanging="420"/>
      </w:pPr>
      <w:rPr>
        <w:rFonts w:ascii="Wingdings" w:hAnsi="Wingdings" w:hint="default"/>
      </w:rPr>
    </w:lvl>
  </w:abstractNum>
  <w:abstractNum w:abstractNumId="4" w15:restartNumberingAfterBreak="0">
    <w:nsid w:val="5C50AF69"/>
    <w:multiLevelType w:val="singleLevel"/>
    <w:tmpl w:val="5C50AF69"/>
    <w:lvl w:ilvl="0">
      <w:start w:val="1"/>
      <w:numFmt w:val="bullet"/>
      <w:lvlText w:val=""/>
      <w:lvlJc w:val="left"/>
      <w:pPr>
        <w:ind w:left="420" w:hanging="420"/>
      </w:pPr>
      <w:rPr>
        <w:rFonts w:ascii="Wingdings" w:hAnsi="Wingdings" w:hint="default"/>
      </w:rPr>
    </w:lvl>
  </w:abstractNum>
  <w:abstractNum w:abstractNumId="5" w15:restartNumberingAfterBreak="0">
    <w:nsid w:val="69B1679F"/>
    <w:multiLevelType w:val="multilevel"/>
    <w:tmpl w:val="69B1679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YWViMTQ1NmEwZjc5NTdlZmU0Y2FhNTNjZDgwYWIifQ=="/>
  </w:docVars>
  <w:rsids>
    <w:rsidRoot w:val="003440B0"/>
    <w:rsid w:val="003440B0"/>
    <w:rsid w:val="00AB05FF"/>
    <w:rsid w:val="00EB67D2"/>
    <w:rsid w:val="150F3CBC"/>
    <w:rsid w:val="181C3F03"/>
    <w:rsid w:val="1BE54009"/>
    <w:rsid w:val="22C767B2"/>
    <w:rsid w:val="2C3D1EA3"/>
    <w:rsid w:val="2E220AB6"/>
    <w:rsid w:val="33B45B58"/>
    <w:rsid w:val="60047D2C"/>
    <w:rsid w:val="6113384A"/>
    <w:rsid w:val="65F66230"/>
    <w:rsid w:val="6A546666"/>
    <w:rsid w:val="6FE1146F"/>
    <w:rsid w:val="79D77D5B"/>
    <w:rsid w:val="7B644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DBA1B9-E8AD-4C6E-B016-38E9ECE58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kern w:val="0"/>
      <w:sz w:val="18"/>
    </w:rPr>
  </w:style>
  <w:style w:type="paragraph" w:styleId="a4">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938</Words>
  <Characters>5350</Characters>
  <Application>Microsoft Office Word</Application>
  <DocSecurity>0</DocSecurity>
  <Lines>44</Lines>
  <Paragraphs>12</Paragraphs>
  <ScaleCrop>false</ScaleCrop>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魏权小天才</dc:creator>
  <cp:lastModifiedBy>lenovo</cp:lastModifiedBy>
  <cp:revision>2</cp:revision>
  <cp:lastPrinted>2023-07-03T08:46:00Z</cp:lastPrinted>
  <dcterms:created xsi:type="dcterms:W3CDTF">2023-07-04T08:14:00Z</dcterms:created>
  <dcterms:modified xsi:type="dcterms:W3CDTF">2023-07-04T08:14:00Z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0795F0D11A2F46D7BAF0F6446CE16BB2_13</vt:lpwstr>
  </property>
</Properties>
</file>